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jc w:val="both"/>
        <w:rPr>
          <w:rFonts w:hint="eastAsia"/>
        </w:rPr>
      </w:pPr>
    </w:p>
    <w:p>
      <w:pPr>
        <w:pStyle w:val="5"/>
        <w:numPr>
          <w:ilvl w:val="0"/>
          <w:numId w:val="0"/>
        </w:numPr>
        <w:jc w:val="both"/>
        <w:rPr>
          <w:rFonts w:hint="eastAsia"/>
        </w:rPr>
      </w:pPr>
      <w:r>
        <w:rPr>
          <w:rFonts w:hint="eastAsia" w:ascii="宋体" w:hAnsi="宋体"/>
          <w:b/>
          <w:w w:val="95"/>
          <w:sz w:val="32"/>
          <w:szCs w:val="32"/>
        </w:rPr>
        <w:t>河南</w:t>
      </w:r>
      <w:r>
        <w:rPr>
          <w:rFonts w:hint="eastAsia" w:ascii="宋体" w:hAnsi="宋体"/>
          <w:b/>
          <w:w w:val="95"/>
          <w:sz w:val="32"/>
          <w:szCs w:val="32"/>
          <w:lang w:eastAsia="zh-CN"/>
        </w:rPr>
        <w:t>对外经济贸易职业学院遴选</w:t>
      </w:r>
      <w:r>
        <w:rPr>
          <w:rFonts w:hint="eastAsia" w:ascii="宋体" w:hAnsi="宋体"/>
          <w:b/>
          <w:w w:val="95"/>
          <w:sz w:val="32"/>
          <w:szCs w:val="32"/>
        </w:rPr>
        <w:t>监理</w:t>
      </w:r>
      <w:r>
        <w:rPr>
          <w:rFonts w:hint="eastAsia" w:ascii="宋体" w:hAnsi="宋体"/>
          <w:b/>
          <w:w w:val="95"/>
          <w:sz w:val="32"/>
          <w:szCs w:val="32"/>
          <w:lang w:eastAsia="zh-CN"/>
        </w:rPr>
        <w:t>服务项目</w:t>
      </w:r>
      <w:r>
        <w:rPr>
          <w:rFonts w:hint="eastAsia"/>
        </w:rPr>
        <w:t>评审办法</w:t>
      </w:r>
    </w:p>
    <w:p>
      <w:pPr>
        <w:pStyle w:val="8"/>
        <w:rPr>
          <w:rFonts w:hint="eastAsia" w:ascii="宋体" w:hAnsi="宋体" w:cs="宋体"/>
          <w:b/>
          <w:bCs/>
          <w:color w:val="auto"/>
          <w:kern w:val="44"/>
        </w:rPr>
      </w:pPr>
    </w:p>
    <w:p>
      <w:pPr>
        <w:rPr>
          <w:rFonts w:hint="eastAsia" w:ascii="宋体" w:hAnsi="宋体" w:cs="宋体"/>
          <w:b/>
          <w:bCs/>
          <w:color w:val="auto"/>
          <w:kern w:val="44"/>
        </w:rPr>
      </w:pPr>
    </w:p>
    <w:tbl>
      <w:tblPr>
        <w:tblStyle w:val="9"/>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830"/>
        <w:gridCol w:w="5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380" w:type="dxa"/>
            <w:vMerge w:val="restart"/>
            <w:noWrap w:val="0"/>
            <w:vAlign w:val="center"/>
          </w:tcPr>
          <w:p>
            <w:pPr>
              <w:rPr>
                <w:rFonts w:ascii="宋体" w:hAnsi="宋体" w:cs="宋体"/>
                <w:szCs w:val="21"/>
                <w:highlight w:val="none"/>
              </w:rPr>
            </w:pPr>
          </w:p>
          <w:p>
            <w:pPr>
              <w:spacing w:line="400" w:lineRule="exact"/>
              <w:rPr>
                <w:rFonts w:ascii="宋体" w:hAnsi="宋体" w:cs="宋体"/>
                <w:szCs w:val="21"/>
                <w:highlight w:val="none"/>
              </w:rPr>
            </w:pPr>
            <w:r>
              <w:rPr>
                <w:rFonts w:hint="eastAsia" w:ascii="宋体" w:hAnsi="宋体" w:cs="宋体"/>
                <w:szCs w:val="21"/>
                <w:highlight w:val="none"/>
              </w:rPr>
              <w:t>资格评审标准</w:t>
            </w:r>
          </w:p>
        </w:tc>
        <w:tc>
          <w:tcPr>
            <w:tcW w:w="1830" w:type="dxa"/>
            <w:noWrap w:val="0"/>
            <w:vAlign w:val="center"/>
          </w:tcPr>
          <w:p>
            <w:pPr>
              <w:rPr>
                <w:rFonts w:ascii="宋体" w:hAnsi="宋体" w:cs="宋体"/>
                <w:szCs w:val="21"/>
                <w:highlight w:val="none"/>
              </w:rPr>
            </w:pPr>
            <w:r>
              <w:rPr>
                <w:rFonts w:hint="eastAsia" w:ascii="宋体" w:hAnsi="宋体" w:cs="宋体"/>
                <w:szCs w:val="21"/>
                <w:highlight w:val="none"/>
              </w:rPr>
              <w:t>评审因素</w:t>
            </w:r>
          </w:p>
        </w:tc>
        <w:tc>
          <w:tcPr>
            <w:tcW w:w="5770" w:type="dxa"/>
            <w:noWrap w:val="0"/>
            <w:vAlign w:val="center"/>
          </w:tcPr>
          <w:p>
            <w:pPr>
              <w:rPr>
                <w:rFonts w:ascii="宋体" w:hAnsi="宋体" w:cs="宋体"/>
                <w:szCs w:val="21"/>
                <w:highlight w:val="none"/>
              </w:rPr>
            </w:pPr>
            <w:r>
              <w:rPr>
                <w:rFonts w:hint="eastAsia" w:ascii="宋体" w:hAnsi="宋体" w:cs="宋体"/>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380" w:type="dxa"/>
            <w:vMerge w:val="continue"/>
            <w:noWrap w:val="0"/>
            <w:vAlign w:val="center"/>
          </w:tcPr>
          <w:p>
            <w:pPr>
              <w:spacing w:line="400" w:lineRule="exact"/>
              <w:rPr>
                <w:rFonts w:ascii="宋体" w:hAnsi="宋体" w:cs="宋体"/>
                <w:szCs w:val="21"/>
                <w:highlight w:val="none"/>
              </w:rPr>
            </w:pPr>
          </w:p>
        </w:tc>
        <w:tc>
          <w:tcPr>
            <w:tcW w:w="1830" w:type="dxa"/>
            <w:noWrap w:val="0"/>
            <w:vAlign w:val="center"/>
          </w:tcPr>
          <w:p>
            <w:pPr>
              <w:spacing w:line="400" w:lineRule="exact"/>
              <w:rPr>
                <w:rFonts w:ascii="宋体" w:hAnsi="宋体" w:cs="宋体"/>
                <w:szCs w:val="21"/>
                <w:highlight w:val="none"/>
              </w:rPr>
            </w:pPr>
            <w:r>
              <w:rPr>
                <w:rFonts w:hint="eastAsia" w:ascii="宋体" w:hAnsi="宋体" w:cs="宋体"/>
                <w:szCs w:val="21"/>
                <w:highlight w:val="none"/>
              </w:rPr>
              <w:t>资质条件</w:t>
            </w:r>
          </w:p>
        </w:tc>
        <w:tc>
          <w:tcPr>
            <w:tcW w:w="5770" w:type="dxa"/>
            <w:noWrap w:val="0"/>
            <w:vAlign w:val="center"/>
          </w:tcPr>
          <w:p>
            <w:pPr>
              <w:widowControl/>
              <w:spacing w:line="360" w:lineRule="auto"/>
              <w:rPr>
                <w:rFonts w:hint="eastAsia"/>
              </w:rPr>
            </w:pPr>
            <w:r>
              <w:rPr>
                <w:rFonts w:hint="eastAsia"/>
                <w:lang w:val="en-US" w:eastAsia="zh-CN"/>
              </w:rPr>
              <w:t>1、</w:t>
            </w:r>
            <w:r>
              <w:rPr>
                <w:rFonts w:hint="eastAsia"/>
              </w:rPr>
              <w:t>满足《中华人民共和国政府采购法》第二十二条规定</w:t>
            </w:r>
          </w:p>
          <w:p>
            <w:pPr>
              <w:widowControl/>
              <w:spacing w:line="360" w:lineRule="auto"/>
              <w:rPr>
                <w:rFonts w:hint="eastAsia"/>
              </w:rPr>
            </w:pPr>
            <w:r>
              <w:rPr>
                <w:rFonts w:hint="eastAsia"/>
                <w:lang w:eastAsia="zh-CN"/>
              </w:rPr>
              <w:t>（</w:t>
            </w:r>
            <w:r>
              <w:rPr>
                <w:rFonts w:hint="eastAsia"/>
                <w:lang w:val="en-US" w:eastAsia="zh-CN"/>
              </w:rPr>
              <w:t>1</w:t>
            </w:r>
            <w:r>
              <w:rPr>
                <w:rFonts w:hint="eastAsia"/>
                <w:lang w:eastAsia="zh-CN"/>
              </w:rPr>
              <w:t>）</w:t>
            </w:r>
            <w:r>
              <w:rPr>
                <w:rFonts w:hint="eastAsia"/>
              </w:rPr>
              <w:t>具有独立承担民事责任能力的法人或其他组织（具有有效的营业执照）；</w:t>
            </w:r>
          </w:p>
          <w:p>
            <w:pPr>
              <w:widowControl/>
              <w:spacing w:line="360" w:lineRule="auto"/>
              <w:rPr>
                <w:rFonts w:hint="eastAsia"/>
              </w:rPr>
            </w:pPr>
            <w:r>
              <w:rPr>
                <w:rFonts w:hint="eastAsia"/>
                <w:lang w:eastAsia="zh-CN"/>
              </w:rPr>
              <w:t>（</w:t>
            </w:r>
            <w:r>
              <w:rPr>
                <w:rFonts w:hint="eastAsia"/>
                <w:lang w:val="en-US" w:eastAsia="zh-CN"/>
              </w:rPr>
              <w:t>2</w:t>
            </w:r>
            <w:r>
              <w:rPr>
                <w:rFonts w:hint="eastAsia"/>
                <w:lang w:eastAsia="zh-CN"/>
              </w:rPr>
              <w:t>）</w:t>
            </w:r>
            <w:r>
              <w:rPr>
                <w:rFonts w:hint="eastAsia"/>
              </w:rPr>
              <w:t>具有良好的商业信誉和健全的财务会计制度（</w:t>
            </w:r>
            <w:r>
              <w:rPr>
                <w:rFonts w:hint="eastAsia"/>
                <w:lang w:val="en-US" w:eastAsia="zh-CN"/>
              </w:rPr>
              <w:t>提供2021</w:t>
            </w:r>
            <w:r>
              <w:rPr>
                <w:rFonts w:hint="eastAsia"/>
              </w:rPr>
              <w:t>年度</w:t>
            </w:r>
            <w:r>
              <w:rPr>
                <w:rFonts w:hint="eastAsia"/>
                <w:lang w:val="en-US" w:eastAsia="zh-CN"/>
              </w:rPr>
              <w:t>或2022年度</w:t>
            </w:r>
            <w:r>
              <w:rPr>
                <w:rFonts w:hint="eastAsia"/>
              </w:rPr>
              <w:t>的审计报告，成立不足一年的须提供银行出具的企业资信证明）；</w:t>
            </w:r>
          </w:p>
          <w:p>
            <w:pPr>
              <w:widowControl/>
              <w:spacing w:line="360" w:lineRule="auto"/>
              <w:rPr>
                <w:rFonts w:hint="eastAsia" w:ascii="Times New Roman" w:hAnsi="Times New Roman" w:eastAsia="宋体" w:cs="Times New Roman"/>
              </w:rPr>
            </w:pPr>
            <w:r>
              <w:rPr>
                <w:rFonts w:hint="eastAsia"/>
                <w:lang w:eastAsia="zh-CN"/>
              </w:rPr>
              <w:t>（</w:t>
            </w:r>
            <w:r>
              <w:rPr>
                <w:rFonts w:hint="eastAsia"/>
                <w:lang w:val="en-US" w:eastAsia="zh-CN"/>
              </w:rPr>
              <w:t>3</w:t>
            </w:r>
            <w:r>
              <w:rPr>
                <w:rFonts w:hint="eastAsia"/>
                <w:lang w:eastAsia="zh-CN"/>
              </w:rPr>
              <w:t>）</w:t>
            </w:r>
            <w:r>
              <w:rPr>
                <w:rFonts w:hint="eastAsia"/>
              </w:rPr>
              <w:t>具有履行合同所必需的设备和专业技术能力（自行承诺，</w:t>
            </w:r>
            <w:r>
              <w:rPr>
                <w:rFonts w:hint="eastAsia" w:ascii="Times New Roman" w:hAnsi="Times New Roman" w:eastAsia="宋体" w:cs="Times New Roman"/>
              </w:rPr>
              <w:t>格式自拟）；</w:t>
            </w:r>
          </w:p>
          <w:p>
            <w:pPr>
              <w:widowControl/>
              <w:spacing w:line="360" w:lineRule="auto"/>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4</w:t>
            </w:r>
            <w:r>
              <w:rPr>
                <w:rFonts w:hint="eastAsia" w:ascii="Times New Roman" w:hAnsi="Times New Roman" w:eastAsia="宋体" w:cs="Times New Roman"/>
                <w:lang w:eastAsia="zh-CN"/>
              </w:rPr>
              <w:t>）</w:t>
            </w:r>
            <w:r>
              <w:rPr>
                <w:rFonts w:hint="eastAsia" w:ascii="Times New Roman" w:hAnsi="Times New Roman" w:eastAsia="宋体" w:cs="Times New Roman"/>
              </w:rPr>
              <w:t>有依法缴纳税收和社会保障资金的良好记录（20</w:t>
            </w:r>
            <w:r>
              <w:rPr>
                <w:rFonts w:hint="eastAsia" w:ascii="Times New Roman" w:hAnsi="Times New Roman" w:eastAsia="宋体" w:cs="Times New Roman"/>
                <w:lang w:val="en-US" w:eastAsia="zh-CN"/>
              </w:rPr>
              <w:t>23</w:t>
            </w:r>
            <w:r>
              <w:rPr>
                <w:rFonts w:hint="eastAsia" w:ascii="Times New Roman" w:hAnsi="Times New Roman" w:eastAsia="宋体" w:cs="Times New Roman"/>
              </w:rPr>
              <w:t>年</w:t>
            </w:r>
            <w:r>
              <w:rPr>
                <w:rFonts w:hint="eastAsia" w:ascii="Times New Roman" w:hAnsi="Times New Roman" w:eastAsia="宋体" w:cs="Times New Roman"/>
                <w:lang w:val="en-US" w:eastAsia="zh-CN"/>
              </w:rPr>
              <w:t>1</w:t>
            </w:r>
            <w:r>
              <w:rPr>
                <w:rFonts w:hint="eastAsia" w:ascii="Times New Roman" w:hAnsi="Times New Roman" w:eastAsia="宋体" w:cs="Times New Roman"/>
              </w:rPr>
              <w:t>月1日以来任意</w:t>
            </w:r>
            <w:r>
              <w:rPr>
                <w:rFonts w:hint="eastAsia" w:ascii="Times New Roman" w:hAnsi="Times New Roman" w:eastAsia="宋体" w:cs="Times New Roman"/>
                <w:lang w:val="en-US" w:eastAsia="zh-CN"/>
              </w:rPr>
              <w:t>1</w:t>
            </w:r>
            <w:r>
              <w:rPr>
                <w:rFonts w:hint="eastAsia" w:ascii="Times New Roman" w:hAnsi="Times New Roman" w:eastAsia="宋体" w:cs="Times New Roman"/>
              </w:rPr>
              <w:t>个月的纳税和社保证明；依法免税或不需要缴纳社保的，须出具有效的证明文件）；</w:t>
            </w:r>
          </w:p>
          <w:p>
            <w:pPr>
              <w:widowControl/>
              <w:spacing w:line="360" w:lineRule="auto"/>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参加本次采购活动前三年内，在经营活动中没有重大违法记录，没有发生过重特大安全责任事故（自行承诺，格式自拟）</w:t>
            </w:r>
            <w:r>
              <w:rPr>
                <w:rFonts w:hint="eastAsia" w:ascii="Times New Roman" w:hAnsi="Times New Roman" w:eastAsia="宋体" w:cs="Times New Roman"/>
              </w:rPr>
              <w:t>；</w:t>
            </w:r>
          </w:p>
          <w:p>
            <w:pPr>
              <w:widowControl/>
              <w:spacing w:line="360" w:lineRule="auto"/>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6</w:t>
            </w:r>
            <w:r>
              <w:rPr>
                <w:rFonts w:hint="eastAsia" w:ascii="Times New Roman" w:hAnsi="Times New Roman" w:eastAsia="宋体" w:cs="Times New Roman"/>
                <w:lang w:eastAsia="zh-CN"/>
              </w:rPr>
              <w:t>）</w:t>
            </w:r>
            <w:r>
              <w:rPr>
                <w:rFonts w:hint="eastAsia" w:ascii="Times New Roman" w:hAnsi="Times New Roman" w:eastAsia="宋体" w:cs="Times New Roman"/>
              </w:rPr>
              <w:t>法律、行政法规规定的其他条件；</w:t>
            </w:r>
          </w:p>
          <w:p>
            <w:pPr>
              <w:widowControl/>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在中华人民共和国境内注册的</w:t>
            </w:r>
            <w:r>
              <w:rPr>
                <w:rFonts w:hint="eastAsia" w:ascii="Times New Roman" w:hAnsi="Times New Roman" w:eastAsia="宋体" w:cs="Times New Roman"/>
                <w:lang w:eastAsia="zh-CN"/>
              </w:rPr>
              <w:t>监理</w:t>
            </w:r>
            <w:r>
              <w:rPr>
                <w:rFonts w:hint="eastAsia" w:ascii="Times New Roman" w:hAnsi="Times New Roman" w:eastAsia="宋体" w:cs="Times New Roman"/>
              </w:rPr>
              <w:t>公司</w:t>
            </w:r>
            <w:r>
              <w:rPr>
                <w:rFonts w:hint="eastAsia" w:ascii="Times New Roman" w:hAnsi="Times New Roman" w:eastAsia="宋体" w:cs="Times New Roman"/>
                <w:lang w:eastAsia="zh-CN"/>
              </w:rPr>
              <w:t>（提供证明文件）</w:t>
            </w:r>
            <w:r>
              <w:rPr>
                <w:rFonts w:hint="eastAsia" w:ascii="Times New Roman" w:hAnsi="Times New Roman" w:eastAsia="宋体" w:cs="Times New Roman"/>
              </w:rPr>
              <w:t>。</w:t>
            </w:r>
          </w:p>
          <w:p>
            <w:pPr>
              <w:widowControl/>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3、</w:t>
            </w:r>
            <w:r>
              <w:rPr>
                <w:rFonts w:hint="eastAsia" w:ascii="Times New Roman" w:hAnsi="Times New Roman" w:eastAsia="宋体" w:cs="Times New Roman"/>
              </w:rPr>
              <w:t>投标人具备建设行政主管部门颁发的房屋建筑工程监理甲级或综合资质</w:t>
            </w:r>
            <w:r>
              <w:rPr>
                <w:rFonts w:hint="eastAsia" w:ascii="Times New Roman" w:hAnsi="Times New Roman" w:eastAsia="宋体" w:cs="Times New Roman"/>
                <w:lang w:eastAsia="zh-CN"/>
              </w:rPr>
              <w:t>（提供证明文件）</w:t>
            </w:r>
            <w:r>
              <w:rPr>
                <w:rFonts w:hint="eastAsia" w:ascii="Times New Roman" w:hAnsi="Times New Roman" w:eastAsia="宋体" w:cs="Times New Roman"/>
              </w:rPr>
              <w:t>；</w:t>
            </w:r>
          </w:p>
          <w:p>
            <w:pPr>
              <w:widowControl/>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4、</w:t>
            </w:r>
            <w:r>
              <w:rPr>
                <w:rFonts w:hint="eastAsia" w:ascii="Times New Roman" w:hAnsi="Times New Roman" w:eastAsia="宋体" w:cs="Times New Roman"/>
              </w:rPr>
              <w:t>拟派项目总监具有房屋建筑工程专业国家注册监理工程师资格；并具有与单位签订的劳动合同，单位为其缴纳的自2023年01月01日以来任意三个月的社保证明</w:t>
            </w:r>
          </w:p>
          <w:p>
            <w:pPr>
              <w:widowControl/>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5、</w:t>
            </w:r>
            <w:r>
              <w:rPr>
                <w:rFonts w:hint="eastAsia" w:ascii="Times New Roman" w:hAnsi="Times New Roman" w:eastAsia="宋体" w:cs="Times New Roman"/>
              </w:rPr>
              <w:t>对列入失信被执行人、重大税收违法案件当事人名单、政府采购严重违法失信行为记录名单的供应商，拒绝参与本项目政府采购活动。提供通过“中国政府采购网”、“信用中国”网站查询企业信用记录的网页截图打印页，并加盖单位公章</w:t>
            </w:r>
          </w:p>
          <w:p>
            <w:pPr>
              <w:widowControl/>
              <w:spacing w:line="360" w:lineRule="auto"/>
              <w:rPr>
                <w:rFonts w:hint="eastAsia"/>
              </w:rPr>
            </w:pPr>
            <w:r>
              <w:rPr>
                <w:rFonts w:hint="eastAsia"/>
                <w:lang w:val="en-US" w:eastAsia="zh-CN"/>
              </w:rPr>
              <w:t>6、</w:t>
            </w:r>
            <w:r>
              <w:rPr>
                <w:rFonts w:hint="eastAsia"/>
              </w:rPr>
              <w:t>单位负责人为同一人或者存在控股、管理关系的不同</w:t>
            </w:r>
            <w:r>
              <w:rPr>
                <w:rFonts w:hint="eastAsia"/>
                <w:lang w:val="en-US" w:eastAsia="zh-CN"/>
              </w:rPr>
              <w:t>投标人</w:t>
            </w:r>
            <w:r>
              <w:rPr>
                <w:rFonts w:hint="eastAsia"/>
              </w:rPr>
              <w:t>，不得参加同一合同项下的政府采购活动【提供“国家企业信用信息公示系统”中查询打印的相关材料（需包含公司基本信息、股东信息及股权变更信息）】。</w:t>
            </w:r>
          </w:p>
          <w:p>
            <w:pPr>
              <w:pStyle w:val="7"/>
            </w:pPr>
          </w:p>
        </w:tc>
      </w:tr>
    </w:tbl>
    <w:p>
      <w:pPr>
        <w:pStyle w:val="8"/>
        <w:ind w:left="0" w:leftChars="0" w:firstLine="0" w:firstLineChars="0"/>
        <w:rPr>
          <w:rFonts w:hint="eastAsia"/>
        </w:rPr>
      </w:pPr>
      <w:bookmarkStart w:id="0" w:name="_GoBack"/>
      <w:bookmarkEnd w:id="0"/>
    </w:p>
    <w:p>
      <w:pPr>
        <w:rPr>
          <w:rFonts w:hint="eastAsia"/>
        </w:rPr>
      </w:pPr>
    </w:p>
    <w:p>
      <w:pPr>
        <w:pStyle w:val="6"/>
        <w:jc w:val="both"/>
        <w:rPr>
          <w:rFonts w:hint="eastAsia"/>
        </w:rPr>
      </w:pPr>
      <w:r>
        <w:rPr>
          <w:rFonts w:hint="eastAsia"/>
        </w:rPr>
        <w:t>评分办法：</w:t>
      </w:r>
    </w:p>
    <w:tbl>
      <w:tblPr>
        <w:tblStyle w:val="9"/>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876"/>
        <w:gridCol w:w="1510"/>
        <w:gridCol w:w="6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56" w:type="dxa"/>
            <w:noWrap w:val="0"/>
            <w:vAlign w:val="center"/>
          </w:tcPr>
          <w:p>
            <w:pPr>
              <w:spacing w:line="460" w:lineRule="exact"/>
              <w:jc w:val="center"/>
              <w:rPr>
                <w:rFonts w:hint="eastAsia" w:ascii="宋体" w:hAnsi="宋体" w:cs="宋体"/>
                <w:b/>
                <w:sz w:val="24"/>
              </w:rPr>
            </w:pPr>
            <w:r>
              <w:rPr>
                <w:rFonts w:hint="eastAsia" w:ascii="宋体" w:hAnsi="宋体" w:cs="宋体"/>
                <w:b/>
                <w:sz w:val="24"/>
              </w:rPr>
              <w:t>序号</w:t>
            </w:r>
          </w:p>
        </w:tc>
        <w:tc>
          <w:tcPr>
            <w:tcW w:w="876" w:type="dxa"/>
            <w:noWrap w:val="0"/>
            <w:vAlign w:val="center"/>
          </w:tcPr>
          <w:p>
            <w:pPr>
              <w:pStyle w:val="11"/>
              <w:spacing w:line="460" w:lineRule="exact"/>
              <w:jc w:val="center"/>
              <w:rPr>
                <w:rFonts w:hint="eastAsia"/>
                <w:b/>
                <w:color w:val="auto"/>
                <w:kern w:val="1"/>
                <w:sz w:val="24"/>
                <w:szCs w:val="24"/>
              </w:rPr>
            </w:pPr>
            <w:r>
              <w:rPr>
                <w:rFonts w:hint="eastAsia"/>
                <w:b/>
                <w:color w:val="auto"/>
                <w:kern w:val="1"/>
                <w:sz w:val="24"/>
                <w:szCs w:val="24"/>
              </w:rPr>
              <w:t>评分因素</w:t>
            </w:r>
          </w:p>
        </w:tc>
        <w:tc>
          <w:tcPr>
            <w:tcW w:w="7880" w:type="dxa"/>
            <w:gridSpan w:val="2"/>
            <w:noWrap w:val="0"/>
            <w:vAlign w:val="center"/>
          </w:tcPr>
          <w:p>
            <w:pPr>
              <w:pStyle w:val="12"/>
              <w:spacing w:line="460" w:lineRule="exact"/>
              <w:ind w:firstLine="482"/>
              <w:rPr>
                <w:rFonts w:hint="eastAsia"/>
                <w:b/>
                <w:color w:val="auto"/>
                <w:kern w:val="1"/>
                <w:sz w:val="24"/>
                <w:szCs w:val="24"/>
              </w:rPr>
            </w:pPr>
            <w:r>
              <w:rPr>
                <w:rFonts w:hint="eastAsia"/>
                <w:b/>
                <w:color w:val="auto"/>
                <w:kern w:val="1"/>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656" w:type="dxa"/>
            <w:noWrap w:val="0"/>
            <w:vAlign w:val="center"/>
          </w:tcPr>
          <w:p>
            <w:pPr>
              <w:spacing w:line="460" w:lineRule="exact"/>
              <w:jc w:val="center"/>
              <w:rPr>
                <w:rFonts w:hint="eastAsia" w:ascii="宋体" w:hAnsi="宋体" w:cs="宋体"/>
                <w:sz w:val="24"/>
              </w:rPr>
            </w:pPr>
            <w:r>
              <w:rPr>
                <w:rFonts w:hint="eastAsia" w:ascii="宋体" w:hAnsi="宋体" w:cs="宋体"/>
                <w:sz w:val="24"/>
              </w:rPr>
              <w:t>1</w:t>
            </w:r>
          </w:p>
        </w:tc>
        <w:tc>
          <w:tcPr>
            <w:tcW w:w="876" w:type="dxa"/>
            <w:noWrap w:val="0"/>
            <w:vAlign w:val="center"/>
          </w:tcPr>
          <w:p>
            <w:pPr>
              <w:pStyle w:val="12"/>
              <w:spacing w:line="460" w:lineRule="exact"/>
              <w:jc w:val="center"/>
              <w:rPr>
                <w:rFonts w:hint="eastAsia"/>
                <w:color w:val="auto"/>
                <w:kern w:val="1"/>
                <w:sz w:val="24"/>
                <w:szCs w:val="24"/>
              </w:rPr>
            </w:pPr>
            <w:r>
              <w:rPr>
                <w:rFonts w:hint="eastAsia"/>
                <w:color w:val="auto"/>
                <w:kern w:val="1"/>
                <w:sz w:val="24"/>
                <w:szCs w:val="24"/>
              </w:rPr>
              <w:t>报价15分</w:t>
            </w:r>
          </w:p>
        </w:tc>
        <w:tc>
          <w:tcPr>
            <w:tcW w:w="7880" w:type="dxa"/>
            <w:gridSpan w:val="2"/>
            <w:noWrap w:val="0"/>
            <w:vAlign w:val="center"/>
          </w:tcPr>
          <w:p>
            <w:pPr>
              <w:adjustRightInd w:val="0"/>
              <w:spacing w:line="360" w:lineRule="auto"/>
              <w:textAlignment w:val="baseline"/>
              <w:rPr>
                <w:rFonts w:ascii="宋体" w:hAnsi="宋体" w:cs="宋体"/>
                <w:bCs/>
                <w:sz w:val="24"/>
              </w:rPr>
            </w:pPr>
            <w:r>
              <w:rPr>
                <w:rFonts w:hint="eastAsia" w:ascii="宋体" w:hAnsi="宋体" w:cs="宋体"/>
                <w:bCs/>
                <w:sz w:val="24"/>
              </w:rPr>
              <w:t>报价分采用低价优先法计算，即满足竞争性磋商文件要求且最后报价最低的供应商的价格为磋商基准价，其价格分为满分15分。其他供应商的价格分统一按照下列公式计算：报价得分=(磋商基准价／最后报价)×15</w:t>
            </w:r>
          </w:p>
          <w:p>
            <w:pPr>
              <w:adjustRightInd w:val="0"/>
              <w:spacing w:line="360" w:lineRule="auto"/>
              <w:textAlignment w:val="baseline"/>
              <w:rPr>
                <w:rFonts w:ascii="宋体" w:hAnsi="宋体" w:cs="宋体"/>
                <w:sz w:val="24"/>
              </w:rPr>
            </w:pPr>
            <w:r>
              <w:rPr>
                <w:rFonts w:hint="eastAsia" w:ascii="宋体" w:hAnsi="宋体" w:cs="宋体"/>
                <w:sz w:val="24"/>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656" w:type="dxa"/>
            <w:vMerge w:val="restart"/>
            <w:noWrap w:val="0"/>
            <w:vAlign w:val="center"/>
          </w:tcPr>
          <w:p>
            <w:pPr>
              <w:spacing w:line="460" w:lineRule="exact"/>
              <w:jc w:val="center"/>
              <w:rPr>
                <w:rFonts w:hint="eastAsia" w:ascii="宋体" w:hAnsi="宋体" w:cs="宋体"/>
                <w:sz w:val="24"/>
              </w:rPr>
            </w:pPr>
            <w:r>
              <w:rPr>
                <w:rFonts w:hint="eastAsia" w:ascii="宋体" w:hAnsi="宋体" w:cs="宋体"/>
                <w:sz w:val="24"/>
              </w:rPr>
              <w:t>2</w:t>
            </w:r>
          </w:p>
        </w:tc>
        <w:tc>
          <w:tcPr>
            <w:tcW w:w="876" w:type="dxa"/>
            <w:vMerge w:val="restart"/>
            <w:noWrap w:val="0"/>
            <w:vAlign w:val="center"/>
          </w:tcPr>
          <w:p>
            <w:pPr>
              <w:spacing w:line="460" w:lineRule="exact"/>
              <w:jc w:val="center"/>
              <w:rPr>
                <w:rFonts w:hint="eastAsia" w:ascii="宋体" w:hAnsi="宋体" w:cs="宋体"/>
                <w:sz w:val="24"/>
              </w:rPr>
            </w:pPr>
            <w:r>
              <w:rPr>
                <w:rFonts w:hint="eastAsia" w:ascii="宋体" w:hAnsi="宋体" w:cs="宋体"/>
                <w:sz w:val="24"/>
              </w:rPr>
              <w:t>监理</w:t>
            </w:r>
          </w:p>
          <w:p>
            <w:pPr>
              <w:spacing w:line="460" w:lineRule="exact"/>
              <w:jc w:val="center"/>
              <w:rPr>
                <w:rFonts w:hint="eastAsia" w:ascii="宋体" w:hAnsi="宋体" w:cs="宋体"/>
                <w:sz w:val="24"/>
              </w:rPr>
            </w:pPr>
            <w:r>
              <w:rPr>
                <w:rFonts w:hint="eastAsia" w:ascii="宋体" w:hAnsi="宋体" w:cs="宋体"/>
                <w:sz w:val="24"/>
              </w:rPr>
              <w:t>大纲</w:t>
            </w:r>
            <w:r>
              <w:rPr>
                <w:rFonts w:hint="eastAsia" w:ascii="宋体" w:hAnsi="宋体" w:cs="宋体"/>
                <w:sz w:val="24"/>
                <w:lang w:val="en-US" w:eastAsia="zh-CN"/>
              </w:rPr>
              <w:t>65</w:t>
            </w:r>
            <w:r>
              <w:rPr>
                <w:rFonts w:hint="eastAsia" w:ascii="宋体" w:hAnsi="宋体" w:cs="宋体"/>
                <w:sz w:val="24"/>
              </w:rPr>
              <w:t>分</w:t>
            </w:r>
          </w:p>
          <w:p>
            <w:pPr>
              <w:spacing w:line="460" w:lineRule="exact"/>
              <w:jc w:val="center"/>
              <w:rPr>
                <w:rFonts w:hint="eastAsia" w:ascii="宋体" w:hAnsi="宋体" w:cs="宋体"/>
                <w:sz w:val="24"/>
              </w:rPr>
            </w:pPr>
          </w:p>
        </w:tc>
        <w:tc>
          <w:tcPr>
            <w:tcW w:w="1510" w:type="dxa"/>
            <w:vMerge w:val="restart"/>
            <w:noWrap w:val="0"/>
            <w:vAlign w:val="center"/>
          </w:tcPr>
          <w:p>
            <w:pPr>
              <w:adjustRightInd w:val="0"/>
              <w:spacing w:line="360" w:lineRule="auto"/>
              <w:jc w:val="center"/>
              <w:textAlignment w:val="baseline"/>
              <w:rPr>
                <w:rFonts w:hint="eastAsia" w:ascii="宋体" w:hAnsi="宋体" w:cs="宋体"/>
                <w:bCs/>
                <w:sz w:val="24"/>
              </w:rPr>
            </w:pPr>
            <w:r>
              <w:rPr>
                <w:rFonts w:hint="eastAsia" w:ascii="宋体" w:hAnsi="宋体" w:cs="宋体"/>
                <w:bCs/>
                <w:sz w:val="24"/>
                <w:lang w:val="en-US" w:eastAsia="zh-CN"/>
              </w:rPr>
              <w:t>现场监理机构构成</w:t>
            </w:r>
          </w:p>
          <w:p>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（8分）</w:t>
            </w:r>
          </w:p>
        </w:tc>
        <w:tc>
          <w:tcPr>
            <w:tcW w:w="6370" w:type="dxa"/>
            <w:noWrap w:val="0"/>
            <w:vAlign w:val="center"/>
          </w:tcPr>
          <w:p>
            <w:pPr>
              <w:adjustRightInd w:val="0"/>
              <w:spacing w:line="360" w:lineRule="auto"/>
              <w:textAlignment w:val="baseline"/>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总监理工程师：</w:t>
            </w:r>
          </w:p>
          <w:p>
            <w:pPr>
              <w:adjustRightInd w:val="0"/>
              <w:spacing w:line="360" w:lineRule="auto"/>
              <w:textAlignment w:val="baseline"/>
              <w:rPr>
                <w:rFonts w:hint="eastAsia" w:ascii="宋体" w:hAnsi="宋体" w:eastAsia="宋体" w:cs="宋体"/>
                <w:bCs/>
                <w:sz w:val="24"/>
                <w:highlight w:val="none"/>
              </w:rPr>
            </w:pPr>
            <w:r>
              <w:rPr>
                <w:rFonts w:hint="eastAsia" w:ascii="宋体" w:hAnsi="宋体" w:eastAsia="宋体" w:cs="宋体"/>
                <w:bCs/>
                <w:sz w:val="24"/>
                <w:highlight w:val="none"/>
              </w:rPr>
              <w:t>1、总监理工程师具有高级职称的加2分，否则不得分。</w:t>
            </w:r>
          </w:p>
          <w:p>
            <w:pPr>
              <w:adjustRightInd w:val="0"/>
              <w:spacing w:line="360" w:lineRule="auto"/>
              <w:textAlignment w:val="baseline"/>
              <w:rPr>
                <w:rFonts w:hint="eastAsia" w:ascii="宋体" w:hAnsi="宋体" w:eastAsia="宋体" w:cs="宋体"/>
                <w:bCs/>
                <w:sz w:val="24"/>
                <w:highlight w:val="none"/>
              </w:rPr>
            </w:pPr>
            <w:r>
              <w:rPr>
                <w:rFonts w:hint="eastAsia" w:ascii="宋体" w:hAnsi="宋体" w:eastAsia="宋体" w:cs="宋体"/>
                <w:bCs/>
                <w:sz w:val="24"/>
                <w:highlight w:val="none"/>
              </w:rPr>
              <w:t>2、总监理工程师</w:t>
            </w:r>
            <w:r>
              <w:rPr>
                <w:rFonts w:hint="eastAsia" w:ascii="宋体" w:hAnsi="宋体" w:eastAsia="宋体" w:cs="宋体"/>
                <w:bCs/>
                <w:sz w:val="24"/>
                <w:highlight w:val="none"/>
                <w:lang w:eastAsia="zh-CN"/>
              </w:rPr>
              <w:t>每提供一个</w:t>
            </w:r>
            <w:r>
              <w:rPr>
                <w:rFonts w:hint="eastAsia" w:ascii="宋体" w:hAnsi="宋体" w:eastAsia="宋体" w:cs="宋体"/>
                <w:bCs/>
                <w:sz w:val="24"/>
                <w:highlight w:val="none"/>
              </w:rPr>
              <w:t>业绩，加</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分，最高加</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分。（需提供中标通知书</w:t>
            </w:r>
            <w:r>
              <w:rPr>
                <w:rFonts w:hint="eastAsia" w:ascii="宋体" w:hAnsi="宋体" w:eastAsia="宋体" w:cs="宋体"/>
                <w:bCs/>
                <w:sz w:val="24"/>
                <w:highlight w:val="none"/>
                <w:lang w:val="en-US" w:eastAsia="zh-CN"/>
              </w:rPr>
              <w:t>或</w:t>
            </w:r>
            <w:r>
              <w:rPr>
                <w:rFonts w:hint="eastAsia" w:ascii="宋体" w:hAnsi="宋体" w:eastAsia="宋体" w:cs="宋体"/>
                <w:bCs/>
                <w:sz w:val="24"/>
                <w:highlight w:val="none"/>
              </w:rPr>
              <w:t>监理合同）</w:t>
            </w:r>
          </w:p>
          <w:p>
            <w:pPr>
              <w:adjustRightInd w:val="0"/>
              <w:spacing w:line="360" w:lineRule="auto"/>
              <w:textAlignment w:val="baseline"/>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656" w:type="dxa"/>
            <w:vMerge w:val="continue"/>
            <w:noWrap w:val="0"/>
            <w:vAlign w:val="center"/>
          </w:tcPr>
          <w:p>
            <w:pPr>
              <w:adjustRightInd w:val="0"/>
              <w:spacing w:line="360" w:lineRule="auto"/>
              <w:textAlignment w:val="baseline"/>
            </w:pPr>
          </w:p>
        </w:tc>
        <w:tc>
          <w:tcPr>
            <w:tcW w:w="876" w:type="dxa"/>
            <w:vMerge w:val="continue"/>
            <w:noWrap w:val="0"/>
            <w:vAlign w:val="center"/>
          </w:tcPr>
          <w:p>
            <w:pPr>
              <w:adjustRightInd w:val="0"/>
              <w:spacing w:line="360" w:lineRule="auto"/>
              <w:textAlignment w:val="baseline"/>
            </w:pPr>
          </w:p>
        </w:tc>
        <w:tc>
          <w:tcPr>
            <w:tcW w:w="1510" w:type="dxa"/>
            <w:vMerge w:val="continue"/>
            <w:noWrap w:val="0"/>
            <w:vAlign w:val="center"/>
          </w:tcPr>
          <w:p>
            <w:pPr>
              <w:adjustRightInd w:val="0"/>
              <w:spacing w:line="360" w:lineRule="auto"/>
              <w:textAlignment w:val="baseline"/>
            </w:pPr>
          </w:p>
        </w:tc>
        <w:tc>
          <w:tcPr>
            <w:tcW w:w="6370" w:type="dxa"/>
            <w:noWrap w:val="0"/>
            <w:vAlign w:val="center"/>
          </w:tcPr>
          <w:p>
            <w:pPr>
              <w:adjustRightInd w:val="0"/>
              <w:spacing w:line="360" w:lineRule="auto"/>
              <w:textAlignment w:val="baseline"/>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监理机构组成人员及专业配套：</w:t>
            </w:r>
          </w:p>
          <w:p>
            <w:pPr>
              <w:adjustRightInd w:val="0"/>
              <w:spacing w:line="360" w:lineRule="auto"/>
              <w:textAlignment w:val="baseline"/>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土建、电气、给排水、安装、造价专业人员齐全，并配备专职安全人员得2分，缺一项扣0.5分，扣完为止。</w:t>
            </w:r>
          </w:p>
          <w:p>
            <w:pPr>
              <w:adjustRightInd w:val="0"/>
              <w:spacing w:line="360" w:lineRule="auto"/>
              <w:textAlignment w:val="baseline"/>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各专业监理工程师是国家注册监理工程师的人数至少2名（含2名），得基本分1分，每增加一名，加0.5分。最多得2分。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656" w:type="dxa"/>
            <w:vMerge w:val="continue"/>
            <w:noWrap w:val="0"/>
            <w:vAlign w:val="center"/>
          </w:tcPr>
          <w:p>
            <w:pPr>
              <w:spacing w:line="460" w:lineRule="exact"/>
              <w:jc w:val="center"/>
              <w:rPr>
                <w:rFonts w:hint="eastAsia" w:ascii="宋体" w:hAnsi="宋体" w:cs="宋体"/>
                <w:sz w:val="24"/>
              </w:rPr>
            </w:pPr>
          </w:p>
        </w:tc>
        <w:tc>
          <w:tcPr>
            <w:tcW w:w="876" w:type="dxa"/>
            <w:vMerge w:val="continue"/>
            <w:noWrap w:val="0"/>
            <w:vAlign w:val="center"/>
          </w:tcPr>
          <w:p>
            <w:pPr>
              <w:spacing w:line="460" w:lineRule="exact"/>
              <w:jc w:val="center"/>
              <w:rPr>
                <w:rFonts w:hint="eastAsia" w:ascii="宋体" w:hAnsi="宋体" w:cs="宋体"/>
                <w:sz w:val="24"/>
              </w:rPr>
            </w:pPr>
          </w:p>
        </w:tc>
        <w:tc>
          <w:tcPr>
            <w:tcW w:w="1510" w:type="dxa"/>
            <w:noWrap w:val="0"/>
            <w:vAlign w:val="center"/>
          </w:tcPr>
          <w:p>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旁站监理措施（6分）</w:t>
            </w:r>
          </w:p>
        </w:tc>
        <w:tc>
          <w:tcPr>
            <w:tcW w:w="6370" w:type="dxa"/>
            <w:noWrap w:val="0"/>
            <w:vAlign w:val="center"/>
          </w:tcPr>
          <w:p>
            <w:pPr>
              <w:adjustRightInd w:val="0"/>
              <w:spacing w:line="360" w:lineRule="auto"/>
              <w:textAlignment w:val="baseline"/>
              <w:rPr>
                <w:rFonts w:hint="eastAsia" w:ascii="宋体" w:hAnsi="宋体" w:cs="宋体"/>
                <w:bCs/>
                <w:sz w:val="24"/>
                <w:highlight w:val="none"/>
              </w:rPr>
            </w:pPr>
            <w:r>
              <w:rPr>
                <w:rFonts w:hint="eastAsia" w:ascii="宋体" w:hAnsi="宋体" w:cs="宋体"/>
                <w:bCs/>
                <w:sz w:val="24"/>
                <w:highlight w:val="none"/>
              </w:rPr>
              <w:t>（1）设置有工程旁站监理部位的得1分，旁站监理部位设置合理、完善者的加0-2分；</w:t>
            </w:r>
          </w:p>
          <w:p>
            <w:pPr>
              <w:adjustRightInd w:val="0"/>
              <w:spacing w:line="360" w:lineRule="auto"/>
              <w:textAlignment w:val="baseline"/>
              <w:rPr>
                <w:rFonts w:hint="eastAsia" w:ascii="宋体" w:hAnsi="宋体" w:cs="宋体"/>
                <w:bCs/>
                <w:sz w:val="24"/>
              </w:rPr>
            </w:pPr>
            <w:r>
              <w:rPr>
                <w:rFonts w:hint="eastAsia" w:ascii="宋体" w:hAnsi="宋体" w:cs="宋体"/>
                <w:bCs/>
                <w:sz w:val="24"/>
                <w:highlight w:val="none"/>
              </w:rPr>
              <w:t>（2）有旁站监理措施得1分，旁站监理措施详细者加0-2分；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56" w:type="dxa"/>
            <w:vMerge w:val="continue"/>
            <w:noWrap w:val="0"/>
            <w:vAlign w:val="center"/>
          </w:tcPr>
          <w:p>
            <w:pPr>
              <w:spacing w:line="460" w:lineRule="exact"/>
              <w:jc w:val="center"/>
              <w:rPr>
                <w:rFonts w:hint="eastAsia" w:ascii="宋体" w:hAnsi="宋体" w:cs="宋体"/>
                <w:sz w:val="24"/>
              </w:rPr>
            </w:pPr>
          </w:p>
        </w:tc>
        <w:tc>
          <w:tcPr>
            <w:tcW w:w="876" w:type="dxa"/>
            <w:vMerge w:val="continue"/>
            <w:noWrap w:val="0"/>
            <w:vAlign w:val="center"/>
          </w:tcPr>
          <w:p>
            <w:pPr>
              <w:spacing w:line="460" w:lineRule="exact"/>
              <w:jc w:val="center"/>
              <w:rPr>
                <w:rFonts w:hint="eastAsia" w:ascii="宋体" w:hAnsi="宋体" w:cs="宋体"/>
                <w:sz w:val="24"/>
              </w:rPr>
            </w:pPr>
          </w:p>
        </w:tc>
        <w:tc>
          <w:tcPr>
            <w:tcW w:w="1510" w:type="dxa"/>
            <w:noWrap w:val="0"/>
            <w:vAlign w:val="center"/>
          </w:tcPr>
          <w:p>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质量控制的措施和方法</w:t>
            </w:r>
            <w:r>
              <w:rPr>
                <w:rFonts w:hint="eastAsia" w:ascii="宋体" w:hAnsi="宋体" w:cs="宋体"/>
                <w:bCs/>
                <w:sz w:val="24"/>
                <w:highlight w:val="none"/>
              </w:rPr>
              <w:t>（</w:t>
            </w:r>
            <w:r>
              <w:rPr>
                <w:rFonts w:hint="eastAsia" w:ascii="宋体" w:hAnsi="宋体" w:cs="宋体"/>
                <w:bCs/>
                <w:sz w:val="24"/>
                <w:highlight w:val="none"/>
                <w:lang w:val="en-US" w:eastAsia="zh-CN"/>
              </w:rPr>
              <w:t>10</w:t>
            </w:r>
            <w:r>
              <w:rPr>
                <w:rFonts w:hint="eastAsia" w:ascii="宋体" w:hAnsi="宋体" w:cs="宋体"/>
                <w:bCs/>
                <w:sz w:val="24"/>
                <w:highlight w:val="none"/>
              </w:rPr>
              <w:t>分）</w:t>
            </w:r>
          </w:p>
        </w:tc>
        <w:tc>
          <w:tcPr>
            <w:tcW w:w="6370" w:type="dxa"/>
            <w:noWrap w:val="0"/>
            <w:vAlign w:val="center"/>
          </w:tcPr>
          <w:p>
            <w:pPr>
              <w:adjustRightInd w:val="0"/>
              <w:spacing w:line="360" w:lineRule="auto"/>
              <w:textAlignment w:val="baseline"/>
              <w:rPr>
                <w:rFonts w:hint="eastAsia" w:ascii="宋体" w:hAnsi="宋体" w:cs="宋体"/>
                <w:bCs/>
                <w:sz w:val="24"/>
              </w:rPr>
            </w:pPr>
            <w:r>
              <w:rPr>
                <w:rFonts w:hint="eastAsia" w:ascii="宋体" w:hAnsi="宋体" w:cs="宋体"/>
                <w:bCs/>
                <w:sz w:val="24"/>
              </w:rPr>
              <w:t>（1）有对质量目标的可行性论述得</w:t>
            </w:r>
            <w:r>
              <w:rPr>
                <w:rFonts w:hint="eastAsia" w:ascii="宋体" w:hAnsi="宋体" w:cs="宋体"/>
                <w:bCs/>
                <w:sz w:val="24"/>
                <w:lang w:val="en-US" w:eastAsia="zh-CN"/>
              </w:rPr>
              <w:t>2</w:t>
            </w:r>
            <w:r>
              <w:rPr>
                <w:rFonts w:hint="eastAsia" w:ascii="宋体" w:hAnsi="宋体" w:cs="宋体"/>
                <w:bCs/>
                <w:sz w:val="24"/>
              </w:rPr>
              <w:t>分；</w:t>
            </w:r>
          </w:p>
          <w:p>
            <w:pPr>
              <w:adjustRightInd w:val="0"/>
              <w:spacing w:line="360" w:lineRule="auto"/>
              <w:textAlignment w:val="baseline"/>
              <w:rPr>
                <w:rFonts w:hint="eastAsia" w:ascii="宋体" w:hAnsi="宋体" w:eastAsia="宋体" w:cs="宋体"/>
                <w:bCs/>
                <w:sz w:val="24"/>
              </w:rPr>
            </w:pPr>
            <w:r>
              <w:rPr>
                <w:rFonts w:hint="eastAsia" w:ascii="宋体" w:hAnsi="宋体" w:cs="宋体"/>
                <w:bCs/>
                <w:sz w:val="24"/>
              </w:rPr>
              <w:t>（2）</w:t>
            </w:r>
            <w:r>
              <w:rPr>
                <w:rFonts w:hint="eastAsia" w:ascii="宋体" w:hAnsi="宋体" w:eastAsia="宋体" w:cs="宋体"/>
                <w:bCs/>
                <w:sz w:val="24"/>
              </w:rPr>
              <w:t>有事前质量控制方法和措施得1分，事前质量控制措施完善、可行的加0-1分；</w:t>
            </w:r>
          </w:p>
          <w:p>
            <w:pPr>
              <w:adjustRightInd w:val="0"/>
              <w:spacing w:line="360" w:lineRule="auto"/>
              <w:textAlignment w:val="baseline"/>
              <w:rPr>
                <w:rFonts w:hint="eastAsia" w:ascii="宋体" w:hAnsi="宋体" w:eastAsia="宋体" w:cs="宋体"/>
                <w:bCs/>
                <w:sz w:val="24"/>
              </w:rPr>
            </w:pPr>
            <w:r>
              <w:rPr>
                <w:rFonts w:hint="eastAsia" w:ascii="宋体" w:hAnsi="宋体" w:eastAsia="宋体" w:cs="宋体"/>
                <w:bCs/>
                <w:sz w:val="24"/>
              </w:rPr>
              <w:t>（3）有原材料质量控制方法和措施得1分，原材料质量控制措施完善、可行的加0-1分；</w:t>
            </w:r>
          </w:p>
          <w:p>
            <w:pPr>
              <w:adjustRightInd w:val="0"/>
              <w:spacing w:line="360" w:lineRule="auto"/>
              <w:textAlignment w:val="baseline"/>
              <w:rPr>
                <w:rFonts w:hint="eastAsia" w:ascii="宋体" w:hAnsi="宋体" w:eastAsia="宋体" w:cs="宋体"/>
                <w:bCs/>
                <w:sz w:val="24"/>
              </w:rPr>
            </w:pPr>
            <w:r>
              <w:rPr>
                <w:rFonts w:hint="eastAsia" w:ascii="宋体" w:hAnsi="宋体" w:eastAsia="宋体" w:cs="宋体"/>
                <w:bCs/>
                <w:sz w:val="24"/>
              </w:rPr>
              <w:t>（4）有事中质量控制方法和措施得1分，事中质量控制措施完善、可行的加0-1分；</w:t>
            </w:r>
          </w:p>
          <w:p>
            <w:pPr>
              <w:adjustRightInd w:val="0"/>
              <w:spacing w:line="360" w:lineRule="auto"/>
              <w:textAlignment w:val="baseline"/>
              <w:rPr>
                <w:rFonts w:hint="eastAsia" w:ascii="宋体" w:hAnsi="宋体" w:cs="宋体"/>
                <w:bCs/>
                <w:sz w:val="24"/>
              </w:rPr>
            </w:pPr>
            <w:r>
              <w:rPr>
                <w:rFonts w:hint="eastAsia" w:ascii="宋体" w:hAnsi="宋体" w:eastAsia="宋体" w:cs="宋体"/>
                <w:bCs/>
                <w:sz w:val="24"/>
              </w:rPr>
              <w:t>（5）有事后质量控制方法和措施得1分，事后质量控制措施完善、可行的加0-1分；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56" w:type="dxa"/>
            <w:vMerge w:val="continue"/>
            <w:noWrap w:val="0"/>
            <w:vAlign w:val="center"/>
          </w:tcPr>
          <w:p>
            <w:pPr>
              <w:spacing w:line="460" w:lineRule="exact"/>
              <w:jc w:val="center"/>
              <w:rPr>
                <w:rFonts w:hint="eastAsia" w:ascii="宋体" w:hAnsi="宋体" w:cs="宋体"/>
                <w:sz w:val="24"/>
              </w:rPr>
            </w:pPr>
          </w:p>
        </w:tc>
        <w:tc>
          <w:tcPr>
            <w:tcW w:w="876" w:type="dxa"/>
            <w:vMerge w:val="continue"/>
            <w:noWrap w:val="0"/>
            <w:vAlign w:val="center"/>
          </w:tcPr>
          <w:p>
            <w:pPr>
              <w:spacing w:line="460" w:lineRule="exact"/>
              <w:jc w:val="center"/>
              <w:rPr>
                <w:rFonts w:hint="eastAsia" w:ascii="宋体" w:hAnsi="宋体" w:cs="宋体"/>
                <w:sz w:val="24"/>
              </w:rPr>
            </w:pPr>
          </w:p>
        </w:tc>
        <w:tc>
          <w:tcPr>
            <w:tcW w:w="1510" w:type="dxa"/>
            <w:noWrap w:val="0"/>
            <w:vAlign w:val="center"/>
          </w:tcPr>
          <w:p>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进度控制的措施和方法（6分）</w:t>
            </w:r>
          </w:p>
        </w:tc>
        <w:tc>
          <w:tcPr>
            <w:tcW w:w="6370" w:type="dxa"/>
            <w:noWrap w:val="0"/>
            <w:vAlign w:val="center"/>
          </w:tcPr>
          <w:p>
            <w:pPr>
              <w:adjustRightInd w:val="0"/>
              <w:spacing w:line="360" w:lineRule="auto"/>
              <w:textAlignment w:val="baseline"/>
              <w:rPr>
                <w:rFonts w:hint="eastAsia" w:ascii="宋体" w:hAnsi="宋体" w:cs="宋体"/>
                <w:bCs/>
                <w:sz w:val="24"/>
                <w:highlight w:val="none"/>
              </w:rPr>
            </w:pPr>
            <w:r>
              <w:rPr>
                <w:rFonts w:hint="eastAsia" w:ascii="宋体" w:hAnsi="宋体" w:cs="宋体"/>
                <w:bCs/>
                <w:sz w:val="24"/>
              </w:rPr>
              <w:t>(</w:t>
            </w:r>
            <w:r>
              <w:rPr>
                <w:rFonts w:hint="eastAsia" w:ascii="宋体" w:hAnsi="宋体" w:cs="宋体"/>
                <w:bCs/>
                <w:sz w:val="24"/>
                <w:highlight w:val="none"/>
              </w:rPr>
              <w:t>1)有进度控制的监理工作目标、原则、内容、程序的得3分，缺一项扣1分，扣完为止；</w:t>
            </w:r>
          </w:p>
          <w:p>
            <w:pPr>
              <w:adjustRightInd w:val="0"/>
              <w:spacing w:line="360" w:lineRule="auto"/>
              <w:textAlignment w:val="baseline"/>
              <w:rPr>
                <w:rFonts w:hint="eastAsia" w:ascii="宋体" w:hAnsi="宋体" w:cs="宋体"/>
                <w:bCs/>
                <w:sz w:val="24"/>
              </w:rPr>
            </w:pPr>
            <w:r>
              <w:rPr>
                <w:rFonts w:hint="eastAsia" w:ascii="宋体" w:hAnsi="宋体" w:cs="宋体"/>
                <w:bCs/>
                <w:sz w:val="24"/>
                <w:highlight w:val="none"/>
              </w:rPr>
              <w:t>(2)有进度控制监理管理方法和措施的得1分，各类监理控制措施完善、详细的加0-2分；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56" w:type="dxa"/>
            <w:vMerge w:val="continue"/>
            <w:noWrap w:val="0"/>
            <w:vAlign w:val="center"/>
          </w:tcPr>
          <w:p>
            <w:pPr>
              <w:spacing w:line="460" w:lineRule="exact"/>
              <w:jc w:val="center"/>
              <w:rPr>
                <w:rFonts w:hint="eastAsia" w:ascii="宋体" w:hAnsi="宋体" w:cs="宋体"/>
                <w:sz w:val="24"/>
              </w:rPr>
            </w:pPr>
          </w:p>
        </w:tc>
        <w:tc>
          <w:tcPr>
            <w:tcW w:w="876" w:type="dxa"/>
            <w:vMerge w:val="continue"/>
            <w:noWrap w:val="0"/>
            <w:vAlign w:val="center"/>
          </w:tcPr>
          <w:p>
            <w:pPr>
              <w:spacing w:line="460" w:lineRule="exact"/>
              <w:jc w:val="center"/>
              <w:rPr>
                <w:rFonts w:hint="eastAsia" w:ascii="宋体" w:hAnsi="宋体" w:cs="宋体"/>
                <w:sz w:val="24"/>
              </w:rPr>
            </w:pPr>
          </w:p>
        </w:tc>
        <w:tc>
          <w:tcPr>
            <w:tcW w:w="1510" w:type="dxa"/>
            <w:noWrap w:val="0"/>
            <w:vAlign w:val="center"/>
          </w:tcPr>
          <w:p>
            <w:pPr>
              <w:adjustRightInd w:val="0"/>
              <w:spacing w:line="360" w:lineRule="auto"/>
              <w:textAlignment w:val="baseline"/>
              <w:rPr>
                <w:rFonts w:hint="eastAsia" w:ascii="宋体" w:hAnsi="宋体" w:eastAsia="宋体" w:cs="宋体"/>
                <w:bCs/>
                <w:sz w:val="24"/>
                <w:highlight w:val="none"/>
              </w:rPr>
            </w:pPr>
            <w:r>
              <w:rPr>
                <w:rFonts w:hint="eastAsia" w:ascii="宋体" w:hAnsi="宋体" w:eastAsia="宋体" w:cs="宋体"/>
                <w:bCs/>
                <w:sz w:val="24"/>
                <w:highlight w:val="none"/>
              </w:rPr>
              <w:t>投资控制的措施和方法（</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分）</w:t>
            </w:r>
          </w:p>
        </w:tc>
        <w:tc>
          <w:tcPr>
            <w:tcW w:w="6370" w:type="dxa"/>
            <w:noWrap w:val="0"/>
            <w:vAlign w:val="center"/>
          </w:tcPr>
          <w:p>
            <w:pPr>
              <w:adjustRightInd w:val="0"/>
              <w:spacing w:line="360" w:lineRule="auto"/>
              <w:textAlignment w:val="baseline"/>
              <w:rPr>
                <w:rFonts w:hint="eastAsia" w:ascii="宋体" w:hAnsi="宋体" w:eastAsia="宋体" w:cs="宋体"/>
                <w:bCs/>
                <w:sz w:val="24"/>
                <w:highlight w:val="none"/>
              </w:rPr>
            </w:pPr>
            <w:r>
              <w:rPr>
                <w:rFonts w:hint="eastAsia" w:ascii="宋体" w:hAnsi="宋体" w:eastAsia="宋体" w:cs="宋体"/>
                <w:bCs/>
                <w:sz w:val="24"/>
                <w:highlight w:val="none"/>
              </w:rPr>
              <w:t>（1）有投资控制的监理工作原则、内容和程序的得1分；</w:t>
            </w:r>
          </w:p>
          <w:p>
            <w:pPr>
              <w:adjustRightInd w:val="0"/>
              <w:spacing w:line="360" w:lineRule="auto"/>
              <w:textAlignment w:val="baseline"/>
              <w:rPr>
                <w:rFonts w:hint="eastAsia" w:ascii="宋体" w:hAnsi="宋体" w:eastAsia="宋体" w:cs="宋体"/>
                <w:bCs/>
                <w:sz w:val="24"/>
                <w:highlight w:val="none"/>
              </w:rPr>
            </w:pPr>
            <w:r>
              <w:rPr>
                <w:rFonts w:hint="eastAsia" w:ascii="宋体" w:hAnsi="宋体" w:eastAsia="宋体" w:cs="宋体"/>
                <w:bCs/>
                <w:sz w:val="24"/>
                <w:highlight w:val="none"/>
              </w:rPr>
              <w:t>（2）有投资控制的监理工作方法和措施的得1分，投资监理控制措施完善、合理的加0-</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分；</w:t>
            </w:r>
          </w:p>
          <w:p>
            <w:pPr>
              <w:adjustRightInd w:val="0"/>
              <w:spacing w:line="360" w:lineRule="auto"/>
              <w:textAlignment w:val="baseline"/>
              <w:rPr>
                <w:rFonts w:hint="eastAsia" w:ascii="宋体" w:hAnsi="宋体" w:eastAsia="宋体" w:cs="宋体"/>
                <w:bCs/>
                <w:sz w:val="24"/>
                <w:highlight w:val="none"/>
              </w:rPr>
            </w:pPr>
            <w:r>
              <w:rPr>
                <w:rFonts w:hint="eastAsia" w:ascii="宋体" w:hAnsi="宋体" w:eastAsia="宋体" w:cs="宋体"/>
                <w:bCs/>
                <w:sz w:val="24"/>
                <w:highlight w:val="none"/>
              </w:rPr>
              <w:t>（3）有工程变更、索赔的监理管理措施的得1分，措施详细、完善的加0-1分；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6" w:type="dxa"/>
            <w:vMerge w:val="continue"/>
            <w:noWrap w:val="0"/>
            <w:vAlign w:val="center"/>
          </w:tcPr>
          <w:p>
            <w:pPr>
              <w:spacing w:line="460" w:lineRule="exact"/>
              <w:jc w:val="center"/>
              <w:rPr>
                <w:rFonts w:hint="eastAsia" w:ascii="宋体" w:hAnsi="宋体" w:cs="宋体"/>
                <w:sz w:val="24"/>
              </w:rPr>
            </w:pPr>
          </w:p>
        </w:tc>
        <w:tc>
          <w:tcPr>
            <w:tcW w:w="876" w:type="dxa"/>
            <w:vMerge w:val="continue"/>
            <w:noWrap w:val="0"/>
            <w:vAlign w:val="center"/>
          </w:tcPr>
          <w:p>
            <w:pPr>
              <w:spacing w:line="460" w:lineRule="exact"/>
              <w:jc w:val="center"/>
              <w:rPr>
                <w:rFonts w:hint="eastAsia" w:ascii="宋体" w:hAnsi="宋体" w:cs="宋体"/>
                <w:sz w:val="24"/>
              </w:rPr>
            </w:pPr>
          </w:p>
        </w:tc>
        <w:tc>
          <w:tcPr>
            <w:tcW w:w="1510" w:type="dxa"/>
            <w:noWrap w:val="0"/>
            <w:vAlign w:val="center"/>
          </w:tcPr>
          <w:p>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安全、文明控制的措施和方法</w:t>
            </w:r>
          </w:p>
          <w:p>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（5分）</w:t>
            </w:r>
          </w:p>
        </w:tc>
        <w:tc>
          <w:tcPr>
            <w:tcW w:w="6370" w:type="dxa"/>
            <w:noWrap w:val="0"/>
            <w:vAlign w:val="center"/>
          </w:tcPr>
          <w:p>
            <w:pPr>
              <w:adjustRightInd w:val="0"/>
              <w:spacing w:line="360" w:lineRule="auto"/>
              <w:textAlignment w:val="baseline"/>
              <w:rPr>
                <w:rFonts w:hint="eastAsia" w:ascii="宋体" w:hAnsi="宋体" w:cs="宋体"/>
                <w:bCs/>
                <w:sz w:val="24"/>
                <w:highlight w:val="none"/>
              </w:rPr>
            </w:pPr>
            <w:r>
              <w:rPr>
                <w:rFonts w:hint="eastAsia" w:ascii="宋体" w:hAnsi="宋体" w:cs="宋体"/>
                <w:bCs/>
                <w:sz w:val="24"/>
                <w:highlight w:val="none"/>
              </w:rPr>
              <w:t>(1)有安全、文明监理工作目标、原则、内容的</w:t>
            </w:r>
            <w:r>
              <w:rPr>
                <w:rFonts w:hint="eastAsia" w:ascii="宋体" w:hAnsi="宋体" w:cs="宋体"/>
                <w:bCs/>
                <w:sz w:val="24"/>
                <w:highlight w:val="none"/>
                <w:lang w:val="en-US" w:eastAsia="zh-CN"/>
              </w:rPr>
              <w:t>得</w:t>
            </w:r>
            <w:r>
              <w:rPr>
                <w:rFonts w:hint="eastAsia" w:ascii="宋体" w:hAnsi="宋体" w:cs="宋体"/>
                <w:bCs/>
                <w:sz w:val="24"/>
                <w:highlight w:val="none"/>
              </w:rPr>
              <w:t>1分；</w:t>
            </w:r>
          </w:p>
          <w:p>
            <w:pPr>
              <w:adjustRightInd w:val="0"/>
              <w:spacing w:line="360" w:lineRule="auto"/>
              <w:textAlignment w:val="baseline"/>
              <w:rPr>
                <w:rFonts w:hint="eastAsia" w:ascii="宋体" w:hAnsi="宋体" w:cs="宋体"/>
                <w:bCs/>
                <w:sz w:val="24"/>
                <w:highlight w:val="none"/>
              </w:rPr>
            </w:pPr>
            <w:r>
              <w:rPr>
                <w:rFonts w:hint="eastAsia" w:ascii="宋体" w:hAnsi="宋体" w:cs="宋体"/>
                <w:bCs/>
                <w:sz w:val="24"/>
                <w:highlight w:val="none"/>
              </w:rPr>
              <w:t>(2)有安全监理控制措施的</w:t>
            </w:r>
            <w:r>
              <w:rPr>
                <w:rFonts w:hint="eastAsia" w:ascii="宋体" w:hAnsi="宋体" w:cs="宋体"/>
                <w:bCs/>
                <w:sz w:val="24"/>
                <w:highlight w:val="none"/>
                <w:lang w:val="en-US" w:eastAsia="zh-CN"/>
              </w:rPr>
              <w:t>得</w:t>
            </w:r>
            <w:r>
              <w:rPr>
                <w:rFonts w:hint="eastAsia" w:ascii="宋体" w:hAnsi="宋体" w:cs="宋体"/>
                <w:bCs/>
                <w:sz w:val="24"/>
                <w:highlight w:val="none"/>
              </w:rPr>
              <w:t>1分，措施详细、完善加0-1分；</w:t>
            </w:r>
          </w:p>
          <w:p>
            <w:pPr>
              <w:adjustRightInd w:val="0"/>
              <w:spacing w:line="360" w:lineRule="auto"/>
              <w:textAlignment w:val="baseline"/>
              <w:rPr>
                <w:rFonts w:hint="eastAsia" w:ascii="宋体" w:hAnsi="宋体" w:cs="宋体"/>
                <w:bCs/>
                <w:sz w:val="24"/>
              </w:rPr>
            </w:pPr>
            <w:r>
              <w:rPr>
                <w:rFonts w:hint="eastAsia" w:ascii="宋体" w:hAnsi="宋体" w:cs="宋体"/>
                <w:bCs/>
                <w:sz w:val="24"/>
                <w:highlight w:val="none"/>
              </w:rPr>
              <w:t>（3）有文明监理控制措施的</w:t>
            </w:r>
            <w:r>
              <w:rPr>
                <w:rFonts w:hint="eastAsia" w:ascii="宋体" w:hAnsi="宋体" w:cs="宋体"/>
                <w:bCs/>
                <w:sz w:val="24"/>
                <w:highlight w:val="none"/>
                <w:lang w:val="en-US" w:eastAsia="zh-CN"/>
              </w:rPr>
              <w:t>得</w:t>
            </w:r>
            <w:r>
              <w:rPr>
                <w:rFonts w:hint="eastAsia" w:ascii="宋体" w:hAnsi="宋体" w:cs="宋体"/>
                <w:bCs/>
                <w:sz w:val="24"/>
                <w:highlight w:val="none"/>
              </w:rPr>
              <w:t>1分，措施详细、完善加0-1分；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56" w:type="dxa"/>
            <w:vMerge w:val="continue"/>
            <w:noWrap w:val="0"/>
            <w:vAlign w:val="center"/>
          </w:tcPr>
          <w:p>
            <w:pPr>
              <w:spacing w:line="460" w:lineRule="exact"/>
              <w:jc w:val="center"/>
              <w:rPr>
                <w:rFonts w:hint="eastAsia" w:ascii="宋体" w:hAnsi="宋体" w:cs="宋体"/>
                <w:sz w:val="24"/>
              </w:rPr>
            </w:pPr>
          </w:p>
        </w:tc>
        <w:tc>
          <w:tcPr>
            <w:tcW w:w="876" w:type="dxa"/>
            <w:vMerge w:val="continue"/>
            <w:noWrap w:val="0"/>
            <w:vAlign w:val="center"/>
          </w:tcPr>
          <w:p>
            <w:pPr>
              <w:spacing w:line="460" w:lineRule="exact"/>
              <w:jc w:val="center"/>
              <w:rPr>
                <w:rFonts w:hint="eastAsia" w:ascii="宋体" w:hAnsi="宋体" w:cs="宋体"/>
                <w:sz w:val="24"/>
              </w:rPr>
            </w:pPr>
          </w:p>
        </w:tc>
        <w:tc>
          <w:tcPr>
            <w:tcW w:w="1510" w:type="dxa"/>
            <w:noWrap w:val="0"/>
            <w:vAlign w:val="center"/>
          </w:tcPr>
          <w:p>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合同管理的措施和方法 （5分）</w:t>
            </w:r>
          </w:p>
        </w:tc>
        <w:tc>
          <w:tcPr>
            <w:tcW w:w="6370" w:type="dxa"/>
            <w:noWrap w:val="0"/>
            <w:vAlign w:val="center"/>
          </w:tcPr>
          <w:p>
            <w:pPr>
              <w:adjustRightInd w:val="0"/>
              <w:spacing w:line="360" w:lineRule="auto"/>
              <w:textAlignment w:val="baseline"/>
              <w:rPr>
                <w:rFonts w:hint="eastAsia" w:ascii="宋体" w:hAnsi="宋体" w:eastAsia="宋体" w:cs="宋体"/>
                <w:bCs/>
                <w:sz w:val="24"/>
                <w:highlight w:val="none"/>
              </w:rPr>
            </w:pPr>
            <w:r>
              <w:rPr>
                <w:rFonts w:hint="eastAsia"/>
              </w:rPr>
              <w:t>(</w:t>
            </w:r>
            <w:r>
              <w:rPr>
                <w:rFonts w:hint="eastAsia" w:ascii="宋体" w:hAnsi="宋体" w:eastAsia="宋体" w:cs="宋体"/>
                <w:bCs/>
                <w:sz w:val="24"/>
                <w:highlight w:val="none"/>
              </w:rPr>
              <w:t>1)有合同管理的监理工作原则、程序和方法的得2分；</w:t>
            </w:r>
          </w:p>
          <w:p>
            <w:pPr>
              <w:adjustRightInd w:val="0"/>
              <w:spacing w:line="360" w:lineRule="auto"/>
              <w:textAlignment w:val="baseline"/>
              <w:rPr>
                <w:rFonts w:hint="eastAsia" w:ascii="宋体" w:hAnsi="宋体" w:eastAsia="宋体" w:cs="宋体"/>
                <w:bCs/>
                <w:sz w:val="24"/>
                <w:highlight w:val="none"/>
              </w:rPr>
            </w:pPr>
            <w:r>
              <w:rPr>
                <w:rFonts w:hint="eastAsia" w:ascii="宋体" w:hAnsi="宋体" w:eastAsia="宋体" w:cs="宋体"/>
                <w:bCs/>
                <w:sz w:val="24"/>
                <w:highlight w:val="none"/>
              </w:rPr>
              <w:t>(2)有合同的监理措施的得1分，措施详细、完善的加0-2分；</w:t>
            </w:r>
          </w:p>
          <w:p>
            <w:pPr>
              <w:pStyle w:val="7"/>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56" w:type="dxa"/>
            <w:vMerge w:val="continue"/>
            <w:noWrap w:val="0"/>
            <w:vAlign w:val="center"/>
          </w:tcPr>
          <w:p>
            <w:pPr>
              <w:spacing w:line="460" w:lineRule="exact"/>
              <w:jc w:val="center"/>
              <w:rPr>
                <w:rFonts w:hint="eastAsia" w:ascii="宋体" w:hAnsi="宋体" w:cs="宋体"/>
                <w:sz w:val="24"/>
              </w:rPr>
            </w:pPr>
          </w:p>
        </w:tc>
        <w:tc>
          <w:tcPr>
            <w:tcW w:w="876" w:type="dxa"/>
            <w:vMerge w:val="continue"/>
            <w:noWrap w:val="0"/>
            <w:vAlign w:val="center"/>
          </w:tcPr>
          <w:p>
            <w:pPr>
              <w:spacing w:line="460" w:lineRule="exact"/>
              <w:jc w:val="center"/>
              <w:rPr>
                <w:rFonts w:hint="eastAsia" w:ascii="宋体" w:hAnsi="宋体" w:cs="宋体"/>
                <w:sz w:val="24"/>
              </w:rPr>
            </w:pPr>
          </w:p>
        </w:tc>
        <w:tc>
          <w:tcPr>
            <w:tcW w:w="1510" w:type="dxa"/>
            <w:noWrap w:val="0"/>
            <w:vAlign w:val="center"/>
          </w:tcPr>
          <w:p>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工作协调的</w:t>
            </w:r>
          </w:p>
          <w:p>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措施和方法</w:t>
            </w:r>
          </w:p>
          <w:p>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（5分）</w:t>
            </w:r>
          </w:p>
        </w:tc>
        <w:tc>
          <w:tcPr>
            <w:tcW w:w="6370" w:type="dxa"/>
            <w:noWrap w:val="0"/>
            <w:vAlign w:val="center"/>
          </w:tcPr>
          <w:p>
            <w:pPr>
              <w:adjustRightInd w:val="0"/>
              <w:spacing w:line="360" w:lineRule="auto"/>
              <w:jc w:val="left"/>
              <w:textAlignment w:val="baseline"/>
              <w:rPr>
                <w:rFonts w:hint="eastAsia" w:ascii="宋体" w:hAnsi="宋体" w:cs="宋体"/>
                <w:bCs/>
                <w:sz w:val="24"/>
                <w:highlight w:val="none"/>
              </w:rPr>
            </w:pPr>
            <w:r>
              <w:rPr>
                <w:rFonts w:hint="eastAsia" w:ascii="宋体" w:hAnsi="宋体" w:cs="宋体"/>
                <w:bCs/>
                <w:sz w:val="24"/>
                <w:highlight w:val="none"/>
              </w:rPr>
              <w:t>（1)有项目工作协调的工作内容、原则和程序的得2分；</w:t>
            </w:r>
          </w:p>
          <w:p>
            <w:pPr>
              <w:adjustRightInd w:val="0"/>
              <w:spacing w:line="360" w:lineRule="auto"/>
              <w:jc w:val="left"/>
              <w:textAlignment w:val="baseline"/>
              <w:rPr>
                <w:rFonts w:hint="eastAsia" w:ascii="宋体" w:hAnsi="宋体" w:cs="宋体"/>
                <w:bCs/>
                <w:sz w:val="24"/>
              </w:rPr>
            </w:pPr>
            <w:r>
              <w:rPr>
                <w:rFonts w:hint="eastAsia" w:ascii="宋体" w:hAnsi="宋体" w:cs="宋体"/>
                <w:bCs/>
                <w:sz w:val="24"/>
                <w:highlight w:val="none"/>
              </w:rPr>
              <w:t>（2）有项目工作协调的工作方法和措施的得1分，协调的措施详细得完善的加0-2分；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56" w:type="dxa"/>
            <w:vMerge w:val="continue"/>
            <w:noWrap w:val="0"/>
            <w:vAlign w:val="center"/>
          </w:tcPr>
          <w:p>
            <w:pPr>
              <w:spacing w:line="460" w:lineRule="exact"/>
              <w:jc w:val="center"/>
              <w:rPr>
                <w:rFonts w:hint="eastAsia" w:ascii="宋体" w:hAnsi="宋体" w:cs="宋体"/>
                <w:sz w:val="24"/>
              </w:rPr>
            </w:pPr>
          </w:p>
        </w:tc>
        <w:tc>
          <w:tcPr>
            <w:tcW w:w="876" w:type="dxa"/>
            <w:vMerge w:val="continue"/>
            <w:noWrap w:val="0"/>
            <w:vAlign w:val="center"/>
          </w:tcPr>
          <w:p>
            <w:pPr>
              <w:spacing w:line="460" w:lineRule="exact"/>
              <w:jc w:val="center"/>
              <w:rPr>
                <w:rFonts w:hint="eastAsia" w:ascii="宋体" w:hAnsi="宋体" w:cs="宋体"/>
                <w:sz w:val="24"/>
              </w:rPr>
            </w:pPr>
          </w:p>
        </w:tc>
        <w:tc>
          <w:tcPr>
            <w:tcW w:w="1510" w:type="dxa"/>
            <w:noWrap w:val="0"/>
            <w:vAlign w:val="center"/>
          </w:tcPr>
          <w:p>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合理化建议（5分）</w:t>
            </w:r>
          </w:p>
        </w:tc>
        <w:tc>
          <w:tcPr>
            <w:tcW w:w="6370" w:type="dxa"/>
            <w:noWrap w:val="0"/>
            <w:vAlign w:val="center"/>
          </w:tcPr>
          <w:p>
            <w:pPr>
              <w:adjustRightInd w:val="0"/>
              <w:spacing w:line="360" w:lineRule="auto"/>
              <w:textAlignment w:val="baseline"/>
              <w:rPr>
                <w:rFonts w:hint="eastAsia" w:ascii="宋体" w:hAnsi="宋体" w:cs="宋体"/>
                <w:bCs/>
                <w:sz w:val="24"/>
              </w:rPr>
            </w:pPr>
            <w:r>
              <w:rPr>
                <w:rFonts w:hint="eastAsia" w:ascii="宋体" w:hAnsi="宋体" w:cs="宋体"/>
                <w:bCs/>
                <w:sz w:val="24"/>
              </w:rPr>
              <w:t>合理化建议完善合理可行的得0-5分；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56" w:type="dxa"/>
            <w:vMerge w:val="continue"/>
            <w:noWrap w:val="0"/>
            <w:vAlign w:val="center"/>
          </w:tcPr>
          <w:p>
            <w:pPr>
              <w:spacing w:line="460" w:lineRule="exact"/>
              <w:jc w:val="center"/>
              <w:rPr>
                <w:rFonts w:hint="eastAsia" w:ascii="宋体" w:hAnsi="宋体" w:cs="宋体"/>
                <w:sz w:val="24"/>
              </w:rPr>
            </w:pPr>
          </w:p>
        </w:tc>
        <w:tc>
          <w:tcPr>
            <w:tcW w:w="876" w:type="dxa"/>
            <w:vMerge w:val="continue"/>
            <w:noWrap w:val="0"/>
            <w:vAlign w:val="center"/>
          </w:tcPr>
          <w:p>
            <w:pPr>
              <w:spacing w:line="460" w:lineRule="exact"/>
              <w:jc w:val="center"/>
              <w:rPr>
                <w:rFonts w:hint="eastAsia" w:ascii="宋体" w:hAnsi="宋体" w:cs="宋体"/>
                <w:sz w:val="24"/>
              </w:rPr>
            </w:pPr>
          </w:p>
        </w:tc>
        <w:tc>
          <w:tcPr>
            <w:tcW w:w="1510" w:type="dxa"/>
            <w:noWrap w:val="0"/>
            <w:vAlign w:val="center"/>
          </w:tcPr>
          <w:p>
            <w:pPr>
              <w:adjustRightInd w:val="0"/>
              <w:spacing w:line="360" w:lineRule="auto"/>
              <w:jc w:val="center"/>
              <w:textAlignment w:val="baseline"/>
              <w:rPr>
                <w:rFonts w:hint="eastAsia" w:ascii="宋体" w:hAnsi="宋体" w:cs="宋体"/>
                <w:bCs/>
                <w:sz w:val="24"/>
                <w:highlight w:val="none"/>
              </w:rPr>
            </w:pPr>
            <w:r>
              <w:rPr>
                <w:rFonts w:hint="eastAsia" w:ascii="宋体" w:hAnsi="宋体" w:cs="宋体"/>
                <w:bCs/>
                <w:sz w:val="24"/>
                <w:highlight w:val="none"/>
              </w:rPr>
              <w:t>监理部投入的检测设备、仪器</w:t>
            </w:r>
          </w:p>
          <w:p>
            <w:pPr>
              <w:adjustRightInd w:val="0"/>
              <w:spacing w:line="360" w:lineRule="auto"/>
              <w:jc w:val="center"/>
              <w:textAlignment w:val="baseline"/>
              <w:rPr>
                <w:rFonts w:hint="eastAsia" w:ascii="宋体" w:hAnsi="宋体" w:cs="宋体"/>
                <w:bCs/>
                <w:sz w:val="24"/>
                <w:highlight w:val="none"/>
              </w:rPr>
            </w:pPr>
            <w:r>
              <w:rPr>
                <w:rFonts w:hint="eastAsia" w:ascii="宋体" w:hAnsi="宋体" w:cs="宋体"/>
                <w:bCs/>
                <w:sz w:val="24"/>
                <w:highlight w:val="none"/>
              </w:rPr>
              <w:t>（</w:t>
            </w:r>
            <w:r>
              <w:rPr>
                <w:rFonts w:hint="eastAsia" w:ascii="宋体" w:hAnsi="宋体" w:cs="宋体"/>
                <w:bCs/>
                <w:sz w:val="24"/>
                <w:highlight w:val="none"/>
                <w:lang w:val="en-US" w:eastAsia="zh-CN"/>
              </w:rPr>
              <w:t>10</w:t>
            </w:r>
            <w:r>
              <w:rPr>
                <w:rFonts w:hint="eastAsia" w:ascii="宋体" w:hAnsi="宋体" w:cs="宋体"/>
                <w:bCs/>
                <w:sz w:val="24"/>
                <w:highlight w:val="none"/>
              </w:rPr>
              <w:t>分）</w:t>
            </w:r>
          </w:p>
        </w:tc>
        <w:tc>
          <w:tcPr>
            <w:tcW w:w="6370" w:type="dxa"/>
            <w:noWrap w:val="0"/>
            <w:vAlign w:val="center"/>
          </w:tcPr>
          <w:p>
            <w:pPr>
              <w:adjustRightInd w:val="0"/>
              <w:spacing w:line="360" w:lineRule="auto"/>
              <w:textAlignment w:val="baseline"/>
              <w:rPr>
                <w:rFonts w:hint="eastAsia" w:ascii="宋体" w:hAnsi="宋体" w:cs="宋体"/>
                <w:bCs/>
                <w:sz w:val="24"/>
                <w:highlight w:val="none"/>
              </w:rPr>
            </w:pPr>
            <w:r>
              <w:rPr>
                <w:rFonts w:hint="eastAsia" w:ascii="宋体" w:hAnsi="宋体" w:cs="宋体"/>
                <w:bCs/>
                <w:sz w:val="24"/>
                <w:highlight w:val="none"/>
              </w:rPr>
              <w:t>拟投入的监理设备，包括经纬仪、水准仪、回弹仪、计算机设施、监理管理软件、预算软件、打印机、数码照相机、数码摄像机设备、车辆，</w:t>
            </w:r>
            <w:r>
              <w:rPr>
                <w:rFonts w:hint="eastAsia" w:ascii="宋体" w:hAnsi="宋体" w:cs="宋体"/>
                <w:bCs/>
                <w:sz w:val="24"/>
                <w:highlight w:val="none"/>
                <w:lang w:val="en-US" w:eastAsia="zh-CN"/>
              </w:rPr>
              <w:t>完全滿足</w:t>
            </w:r>
            <w:r>
              <w:rPr>
                <w:rFonts w:hint="eastAsia" w:ascii="宋体" w:hAnsi="宋体" w:cs="宋体"/>
                <w:bCs/>
                <w:sz w:val="24"/>
                <w:highlight w:val="none"/>
              </w:rPr>
              <w:t>得</w:t>
            </w:r>
            <w:r>
              <w:rPr>
                <w:rFonts w:hint="eastAsia" w:ascii="宋体" w:hAnsi="宋体" w:cs="宋体"/>
                <w:bCs/>
                <w:sz w:val="24"/>
                <w:highlight w:val="none"/>
                <w:lang w:val="en-US" w:eastAsia="zh-CN"/>
              </w:rPr>
              <w:t>10</w:t>
            </w:r>
            <w:r>
              <w:rPr>
                <w:rFonts w:hint="eastAsia" w:ascii="宋体" w:hAnsi="宋体" w:cs="宋体"/>
                <w:bCs/>
                <w:sz w:val="24"/>
                <w:highlight w:val="none"/>
              </w:rPr>
              <w:t>分，缺一项扣1分，扣完为止；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56" w:type="dxa"/>
            <w:noWrap w:val="0"/>
            <w:vAlign w:val="center"/>
          </w:tcPr>
          <w:p>
            <w:pPr>
              <w:spacing w:line="460" w:lineRule="exact"/>
              <w:jc w:val="center"/>
              <w:rPr>
                <w:rFonts w:hint="eastAsia" w:ascii="宋体" w:hAnsi="宋体" w:cs="宋体"/>
                <w:sz w:val="24"/>
              </w:rPr>
            </w:pPr>
            <w:r>
              <w:rPr>
                <w:rFonts w:hint="eastAsia" w:ascii="宋体" w:hAnsi="宋体" w:cs="宋体"/>
                <w:sz w:val="24"/>
              </w:rPr>
              <w:t>3</w:t>
            </w:r>
          </w:p>
        </w:tc>
        <w:tc>
          <w:tcPr>
            <w:tcW w:w="876" w:type="dxa"/>
            <w:noWrap w:val="0"/>
            <w:vAlign w:val="center"/>
          </w:tcPr>
          <w:p>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企业</w:t>
            </w:r>
            <w:r>
              <w:rPr>
                <w:rFonts w:hint="eastAsia" w:ascii="宋体" w:hAnsi="宋体" w:cs="宋体"/>
                <w:bCs/>
                <w:sz w:val="24"/>
                <w:lang w:eastAsia="zh-CN"/>
              </w:rPr>
              <w:t>信誉、荣誉和业绩</w:t>
            </w:r>
            <w:r>
              <w:rPr>
                <w:rFonts w:hint="eastAsia" w:ascii="宋体" w:hAnsi="宋体" w:cs="宋体"/>
                <w:bCs/>
                <w:sz w:val="24"/>
              </w:rPr>
              <w:t>1</w:t>
            </w:r>
            <w:r>
              <w:rPr>
                <w:rFonts w:hint="eastAsia" w:ascii="宋体" w:hAnsi="宋体" w:cs="宋体"/>
                <w:bCs/>
                <w:sz w:val="24"/>
                <w:lang w:val="en-US" w:eastAsia="zh-CN"/>
              </w:rPr>
              <w:t>0</w:t>
            </w:r>
            <w:r>
              <w:rPr>
                <w:rFonts w:hint="eastAsia" w:ascii="宋体" w:hAnsi="宋体" w:cs="宋体"/>
                <w:bCs/>
                <w:sz w:val="24"/>
              </w:rPr>
              <w:t>分</w:t>
            </w:r>
          </w:p>
        </w:tc>
        <w:tc>
          <w:tcPr>
            <w:tcW w:w="7880" w:type="dxa"/>
            <w:gridSpan w:val="2"/>
            <w:noWrap w:val="0"/>
            <w:vAlign w:val="center"/>
          </w:tcPr>
          <w:p>
            <w:pPr>
              <w:adjustRightInd w:val="0"/>
              <w:spacing w:line="360" w:lineRule="auto"/>
              <w:textAlignment w:val="baseline"/>
              <w:rPr>
                <w:rFonts w:hint="eastAsia"/>
              </w:rPr>
            </w:pPr>
            <w:r>
              <w:rPr>
                <w:rFonts w:hint="eastAsia"/>
                <w:lang w:eastAsia="zh-CN"/>
              </w:rPr>
              <w:t>（</w:t>
            </w:r>
            <w:r>
              <w:rPr>
                <w:rFonts w:hint="eastAsia"/>
                <w:lang w:val="en-US" w:eastAsia="zh-CN"/>
              </w:rPr>
              <w:t>1</w:t>
            </w:r>
            <w:r>
              <w:rPr>
                <w:rFonts w:hint="eastAsia"/>
                <w:lang w:eastAsia="zh-CN"/>
              </w:rPr>
              <w:t>）</w:t>
            </w:r>
            <w:r>
              <w:rPr>
                <w:rFonts w:hint="eastAsia"/>
              </w:rPr>
              <w:t>企业具有质量、环境、职业健康三大体系认证证书的每个得1分，共3分，没有不得分。</w:t>
            </w:r>
          </w:p>
          <w:p>
            <w:pPr>
              <w:adjustRightInd w:val="0"/>
              <w:spacing w:line="360" w:lineRule="auto"/>
              <w:textAlignment w:val="baseline"/>
              <w:rPr>
                <w:rFonts w:hint="eastAsia"/>
              </w:rPr>
            </w:pPr>
            <w:r>
              <w:rPr>
                <w:rFonts w:hint="eastAsia"/>
              </w:rPr>
              <w:t>（</w:t>
            </w:r>
            <w:r>
              <w:rPr>
                <w:rFonts w:hint="eastAsia"/>
                <w:lang w:val="en-US" w:eastAsia="zh-CN"/>
              </w:rPr>
              <w:t>2</w:t>
            </w:r>
            <w:r>
              <w:rPr>
                <w:rFonts w:hint="eastAsia"/>
              </w:rPr>
              <w:t>）2017年1月1日年以来，供应商监理的工程获得省级工程质量奖有一项得</w:t>
            </w:r>
            <w:r>
              <w:rPr>
                <w:rFonts w:hint="eastAsia"/>
                <w:lang w:val="en-US" w:eastAsia="zh-CN"/>
              </w:rPr>
              <w:t>1</w:t>
            </w:r>
            <w:r>
              <w:rPr>
                <w:rFonts w:hint="eastAsia"/>
              </w:rPr>
              <w:t>分，最高得</w:t>
            </w:r>
            <w:r>
              <w:rPr>
                <w:rFonts w:hint="eastAsia"/>
                <w:lang w:val="en-US" w:eastAsia="zh-CN"/>
              </w:rPr>
              <w:t>3</w:t>
            </w:r>
            <w:r>
              <w:rPr>
                <w:rFonts w:hint="eastAsia"/>
              </w:rPr>
              <w:t>分（以获奖证书或文件为准，日期以证书或文件发放时间为准）；</w:t>
            </w:r>
          </w:p>
          <w:p>
            <w:pPr>
              <w:adjustRightInd w:val="0"/>
              <w:spacing w:line="360" w:lineRule="auto"/>
              <w:textAlignment w:val="baseline"/>
              <w:rPr>
                <w:rFonts w:hint="eastAsia"/>
              </w:rPr>
            </w:pPr>
            <w:r>
              <w:rPr>
                <w:rFonts w:hint="eastAsia"/>
              </w:rPr>
              <w:t>（</w:t>
            </w:r>
            <w:r>
              <w:rPr>
                <w:rFonts w:hint="eastAsia"/>
                <w:lang w:val="en-US" w:eastAsia="zh-CN"/>
              </w:rPr>
              <w:t>3</w:t>
            </w:r>
            <w:r>
              <w:rPr>
                <w:rFonts w:hint="eastAsia"/>
              </w:rPr>
              <w:t>）2017年1月1日以来，供应商连续三年被评为省级及以上先进监理单位或诚信建设先进企业称号者得</w:t>
            </w:r>
            <w:r>
              <w:rPr>
                <w:rFonts w:hint="eastAsia"/>
                <w:lang w:val="en-US" w:eastAsia="zh-CN"/>
              </w:rPr>
              <w:t>1</w:t>
            </w:r>
            <w:r>
              <w:rPr>
                <w:rFonts w:hint="eastAsia"/>
              </w:rPr>
              <w:t>分。（以监理协会颁发的证书或文件为准，日期以证书或文件发放时间为准）；</w:t>
            </w:r>
          </w:p>
          <w:p>
            <w:pPr>
              <w:adjustRightInd w:val="0"/>
              <w:spacing w:line="360" w:lineRule="auto"/>
              <w:textAlignment w:val="baseline"/>
              <w:rPr>
                <w:rFonts w:hint="eastAsia"/>
              </w:rPr>
            </w:pPr>
            <w:r>
              <w:rPr>
                <w:rFonts w:hint="eastAsia"/>
              </w:rPr>
              <w:t>（</w:t>
            </w:r>
            <w:r>
              <w:rPr>
                <w:rFonts w:hint="eastAsia"/>
                <w:lang w:val="en-US" w:eastAsia="zh-CN"/>
              </w:rPr>
              <w:t>4</w:t>
            </w:r>
            <w:r>
              <w:rPr>
                <w:rFonts w:hint="eastAsia"/>
              </w:rPr>
              <w:t>）2017年1月1日以来，供应商被评为省级及以上建设工程招标投标诚实守信单位得</w:t>
            </w:r>
            <w:r>
              <w:rPr>
                <w:rFonts w:hint="eastAsia"/>
                <w:lang w:val="en-US" w:eastAsia="zh-CN"/>
              </w:rPr>
              <w:t>1</w:t>
            </w:r>
            <w:r>
              <w:rPr>
                <w:rFonts w:hint="eastAsia"/>
              </w:rPr>
              <w:t>分（以主管行业协会颁发的获奖证书或文件为准，日期以证书或文件发放时间为准）；</w:t>
            </w:r>
          </w:p>
          <w:p>
            <w:pPr>
              <w:pStyle w:val="7"/>
              <w:numPr>
                <w:ilvl w:val="0"/>
                <w:numId w:val="1"/>
              </w:numPr>
              <w:rPr>
                <w:rFonts w:hint="eastAsia"/>
              </w:rPr>
            </w:pPr>
            <w:r>
              <w:rPr>
                <w:rFonts w:hint="eastAsia"/>
                <w:lang w:eastAsia="zh-CN"/>
              </w:rPr>
              <w:t>企业</w:t>
            </w:r>
            <w:r>
              <w:rPr>
                <w:rFonts w:hint="eastAsia"/>
                <w:lang w:val="en-US" w:eastAsia="zh-CN"/>
              </w:rPr>
              <w:t>2017年1月1日以来监理过的不同专业的项目，提供1个得1分，最高得2分。（需提供中标通知书或监理合同）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56" w:type="dxa"/>
            <w:noWrap w:val="0"/>
            <w:vAlign w:val="center"/>
          </w:tcPr>
          <w:p>
            <w:pPr>
              <w:spacing w:line="460" w:lineRule="exact"/>
              <w:jc w:val="center"/>
              <w:rPr>
                <w:rFonts w:hint="eastAsia" w:ascii="宋体" w:hAnsi="宋体" w:cs="宋体"/>
                <w:sz w:val="24"/>
              </w:rPr>
            </w:pPr>
            <w:r>
              <w:rPr>
                <w:rFonts w:hint="eastAsia" w:ascii="宋体" w:hAnsi="宋体" w:cs="宋体"/>
                <w:sz w:val="24"/>
              </w:rPr>
              <w:t>4</w:t>
            </w:r>
          </w:p>
        </w:tc>
        <w:tc>
          <w:tcPr>
            <w:tcW w:w="876" w:type="dxa"/>
            <w:noWrap w:val="0"/>
            <w:vAlign w:val="center"/>
          </w:tcPr>
          <w:p>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服务承诺10分</w:t>
            </w:r>
          </w:p>
        </w:tc>
        <w:tc>
          <w:tcPr>
            <w:tcW w:w="7880" w:type="dxa"/>
            <w:gridSpan w:val="2"/>
            <w:noWrap w:val="0"/>
            <w:vAlign w:val="center"/>
          </w:tcPr>
          <w:p>
            <w:pPr>
              <w:adjustRightInd w:val="0"/>
              <w:spacing w:line="360" w:lineRule="auto"/>
              <w:textAlignment w:val="baseline"/>
              <w:rPr>
                <w:rFonts w:hint="eastAsia" w:ascii="宋体" w:hAnsi="宋体" w:cs="宋体"/>
                <w:bCs/>
                <w:sz w:val="24"/>
                <w:highlight w:val="none"/>
              </w:rPr>
            </w:pPr>
            <w:r>
              <w:rPr>
                <w:rFonts w:hint="eastAsia" w:ascii="宋体" w:hAnsi="宋体" w:cs="宋体"/>
                <w:bCs/>
                <w:sz w:val="24"/>
              </w:rPr>
              <w:t>（1</w:t>
            </w:r>
            <w:r>
              <w:rPr>
                <w:rFonts w:hint="eastAsia" w:ascii="宋体" w:hAnsi="宋体" w:cs="宋体"/>
                <w:bCs/>
                <w:sz w:val="24"/>
                <w:highlight w:val="none"/>
              </w:rPr>
              <w:t>）因监理方失职，在质量管理、投资控制、进度控制等方面给招标人带来损失的，有处罚措施的承诺，得0-4分；</w:t>
            </w:r>
          </w:p>
          <w:p>
            <w:pPr>
              <w:adjustRightInd w:val="0"/>
              <w:spacing w:line="360" w:lineRule="auto"/>
              <w:textAlignment w:val="baseline"/>
              <w:rPr>
                <w:rFonts w:hint="eastAsia"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lang w:eastAsia="zh-CN"/>
              </w:rPr>
              <w:t>企</w:t>
            </w:r>
            <w:r>
              <w:rPr>
                <w:rFonts w:hint="eastAsia" w:ascii="宋体" w:hAnsi="宋体" w:cs="宋体"/>
                <w:bCs/>
                <w:sz w:val="24"/>
                <w:highlight w:val="none"/>
              </w:rPr>
              <w:t>业在管理、技术等方面服务承诺，得0-</w:t>
            </w:r>
            <w:r>
              <w:rPr>
                <w:rFonts w:hint="eastAsia" w:ascii="宋体" w:hAnsi="宋体" w:cs="宋体"/>
                <w:bCs/>
                <w:sz w:val="24"/>
                <w:highlight w:val="none"/>
                <w:lang w:val="en-US" w:eastAsia="zh-CN"/>
              </w:rPr>
              <w:t>2</w:t>
            </w:r>
            <w:r>
              <w:rPr>
                <w:rFonts w:hint="eastAsia" w:ascii="宋体" w:hAnsi="宋体" w:cs="宋体"/>
                <w:bCs/>
                <w:sz w:val="24"/>
                <w:highlight w:val="none"/>
              </w:rPr>
              <w:t>分；</w:t>
            </w:r>
          </w:p>
          <w:p>
            <w:pPr>
              <w:adjustRightInd w:val="0"/>
              <w:spacing w:line="360" w:lineRule="auto"/>
              <w:textAlignment w:val="baseline"/>
              <w:rPr>
                <w:rFonts w:hint="default" w:ascii="宋体" w:hAnsi="宋体" w:eastAsia="宋体" w:cs="宋体"/>
                <w:bCs/>
                <w:sz w:val="24"/>
                <w:lang w:val="en-US" w:eastAsia="zh-CN"/>
              </w:rPr>
            </w:pPr>
            <w:r>
              <w:rPr>
                <w:rFonts w:hint="eastAsia" w:ascii="宋体" w:hAnsi="宋体" w:cs="宋体"/>
                <w:bCs/>
                <w:sz w:val="24"/>
                <w:highlight w:val="none"/>
              </w:rPr>
              <w:t>（3）</w:t>
            </w:r>
            <w:r>
              <w:rPr>
                <w:rFonts w:hint="eastAsia" w:ascii="宋体" w:hAnsi="宋体" w:eastAsia="宋体" w:cs="宋体"/>
                <w:bCs/>
                <w:sz w:val="24"/>
                <w:highlight w:val="none"/>
                <w:lang w:eastAsia="zh-CN"/>
              </w:rPr>
              <w:t>承诺参与所监理项目的验收</w:t>
            </w:r>
            <w:r>
              <w:rPr>
                <w:rFonts w:hint="eastAsia" w:ascii="宋体" w:hAnsi="宋体" w:eastAsia="宋体" w:cs="宋体"/>
                <w:bCs/>
                <w:sz w:val="24"/>
                <w:highlight w:val="none"/>
                <w:lang w:val="en-US" w:eastAsia="zh-CN"/>
              </w:rPr>
              <w:t xml:space="preserve"> </w:t>
            </w:r>
            <w:r>
              <w:rPr>
                <w:rFonts w:hint="eastAsia" w:ascii="宋体" w:hAnsi="宋体" w:cs="宋体"/>
                <w:bCs/>
                <w:sz w:val="24"/>
                <w:highlight w:val="none"/>
              </w:rPr>
              <w:t>得0-</w:t>
            </w:r>
            <w:r>
              <w:rPr>
                <w:rFonts w:hint="eastAsia" w:ascii="宋体" w:hAnsi="宋体" w:cs="宋体"/>
                <w:bCs/>
                <w:sz w:val="24"/>
                <w:highlight w:val="none"/>
                <w:lang w:val="en-US" w:eastAsia="zh-CN"/>
              </w:rPr>
              <w:t>4</w:t>
            </w:r>
            <w:r>
              <w:rPr>
                <w:rFonts w:hint="eastAsia" w:ascii="宋体" w:hAnsi="宋体" w:cs="宋体"/>
                <w:bCs/>
                <w:sz w:val="24"/>
                <w:highlight w:val="none"/>
              </w:rPr>
              <w:t>分；</w:t>
            </w:r>
            <w:r>
              <w:rPr>
                <w:rFonts w:hint="eastAsia" w:ascii="宋体" w:hAnsi="宋体" w:cs="宋体"/>
                <w:bCs/>
                <w:color w:val="FF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412" w:type="dxa"/>
            <w:gridSpan w:val="4"/>
            <w:noWrap w:val="0"/>
            <w:vAlign w:val="center"/>
          </w:tcPr>
          <w:p>
            <w:pPr>
              <w:pStyle w:val="13"/>
              <w:tabs>
                <w:tab w:val="left" w:pos="0"/>
                <w:tab w:val="left" w:pos="454"/>
              </w:tabs>
              <w:wordWrap w:val="0"/>
              <w:spacing w:line="360" w:lineRule="auto"/>
              <w:jc w:val="center"/>
              <w:rPr>
                <w:rFonts w:hint="eastAsia" w:ascii="宋体" w:hAnsi="宋体" w:cs="宋体"/>
                <w:color w:val="auto"/>
              </w:rPr>
            </w:pPr>
            <w:r>
              <w:rPr>
                <w:rFonts w:hint="eastAsia" w:ascii="宋体" w:hAnsi="宋体" w:cs="宋体"/>
                <w:color w:val="auto"/>
              </w:rPr>
              <w:t>注：供应商的最终得分：所有评委计分结果的算术平均值，作为该供应商的最终得分。</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147E1"/>
    <w:multiLevelType w:val="singleLevel"/>
    <w:tmpl w:val="379147E1"/>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GViNjdlMDQwZTRmZmNhZDg0ZWQ0NzEyNDUyNGQifQ=="/>
  </w:docVars>
  <w:rsids>
    <w:rsidRoot w:val="00000000"/>
    <w:rsid w:val="488B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line="360" w:lineRule="auto"/>
      <w:jc w:val="center"/>
      <w:outlineLvl w:val="0"/>
    </w:pPr>
    <w:rPr>
      <w:rFonts w:ascii="宋体" w:hAnsi="宋体"/>
      <w:b/>
      <w:bCs/>
      <w:kern w:val="44"/>
      <w:sz w:val="32"/>
      <w:szCs w:val="44"/>
    </w:rPr>
  </w:style>
  <w:style w:type="paragraph" w:styleId="6">
    <w:name w:val="heading 2"/>
    <w:basedOn w:val="1"/>
    <w:next w:val="1"/>
    <w:qFormat/>
    <w:uiPriority w:val="0"/>
    <w:pPr>
      <w:keepNext/>
      <w:keepLines/>
      <w:spacing w:line="360" w:lineRule="auto"/>
      <w:jc w:val="center"/>
      <w:outlineLvl w:val="1"/>
    </w:pPr>
    <w:rPr>
      <w:rFonts w:ascii="Arial" w:hAnsi="Arial"/>
      <w:b/>
      <w:bCs/>
      <w:sz w:val="28"/>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文本首行缩进 21"/>
    <w:basedOn w:val="3"/>
    <w:next w:val="4"/>
    <w:qFormat/>
    <w:uiPriority w:val="0"/>
    <w:pPr>
      <w:spacing w:after="120" w:line="240" w:lineRule="auto"/>
      <w:ind w:left="420" w:leftChars="200" w:firstLine="420" w:firstLineChars="200"/>
    </w:pPr>
  </w:style>
  <w:style w:type="paragraph" w:customStyle="1" w:styleId="3">
    <w:name w:val="正文文本缩进1"/>
    <w:basedOn w:val="1"/>
    <w:qFormat/>
    <w:uiPriority w:val="0"/>
    <w:pPr>
      <w:spacing w:line="420" w:lineRule="exact"/>
      <w:ind w:firstLine="732" w:firstLineChars="300"/>
    </w:pPr>
    <w:rPr>
      <w:spacing w:val="2"/>
      <w:sz w:val="24"/>
    </w:rPr>
  </w:style>
  <w:style w:type="paragraph" w:customStyle="1" w:styleId="4">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7">
    <w:name w:val="Body Text"/>
    <w:basedOn w:val="1"/>
    <w:next w:val="1"/>
    <w:qFormat/>
    <w:uiPriority w:val="0"/>
    <w:pPr>
      <w:spacing w:after="120" w:afterLines="0"/>
    </w:pPr>
  </w:style>
  <w:style w:type="paragraph" w:styleId="8">
    <w:name w:val="table of figures"/>
    <w:basedOn w:val="1"/>
    <w:next w:val="1"/>
    <w:qFormat/>
    <w:uiPriority w:val="0"/>
    <w:pPr>
      <w:ind w:leftChars="200" w:hanging="200" w:hangingChars="200"/>
    </w:pPr>
  </w:style>
  <w:style w:type="paragraph" w:customStyle="1" w:styleId="11">
    <w:name w:val="表3-3"/>
    <w:basedOn w:val="1"/>
    <w:qFormat/>
    <w:uiPriority w:val="0"/>
    <w:pPr>
      <w:spacing w:line="240" w:lineRule="exact"/>
      <w:jc w:val="center"/>
    </w:pPr>
    <w:rPr>
      <w:rFonts w:ascii="宋体" w:hAnsi="宋体" w:cs="宋体"/>
      <w:color w:val="000000"/>
      <w:kern w:val="0"/>
      <w:szCs w:val="28"/>
    </w:rPr>
  </w:style>
  <w:style w:type="paragraph" w:customStyle="1" w:styleId="12">
    <w:name w:val="表1-3"/>
    <w:basedOn w:val="1"/>
    <w:qFormat/>
    <w:uiPriority w:val="0"/>
    <w:pPr>
      <w:spacing w:line="240" w:lineRule="exact"/>
      <w:jc w:val="center"/>
    </w:pPr>
    <w:rPr>
      <w:rFonts w:ascii="宋体" w:hAnsi="宋体" w:cs="宋体"/>
      <w:color w:val="000000"/>
      <w:kern w:val="0"/>
      <w:sz w:val="21"/>
      <w:szCs w:val="28"/>
    </w:rPr>
  </w:style>
  <w:style w:type="paragraph" w:customStyle="1" w:styleId="13">
    <w:name w:val="Default"/>
    <w:next w:val="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2023-07-10T06:28:18Z</dcterms:created>
  <dc:creator>pc</dc:creator>
  <cp:lastModifiedBy>pc</cp:lastModifiedBy>
  <dcterms:modified xsi:type="dcterms:W3CDTF">2023-07-10T06:30:07Z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45EFC3C5E859450F930256D57543892D_12</vt:lpwstr>
  </property>
</Properties>
</file>